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66" w:rsidRPr="00FF3066" w:rsidRDefault="00FF3066" w:rsidP="00FF3066">
      <w:pPr>
        <w:spacing w:after="0"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2014 WL 7272807 (U.S.) (Appellate Petition, Motion and Filing)</w:t>
      </w:r>
      <w:bookmarkStart w:id="0" w:name="I9aede7758b0f11e498db8b09b4f043e0"/>
      <w:bookmarkEnd w:id="0"/>
    </w:p>
    <w:p w:rsidR="00FF3066" w:rsidRPr="00FF3066" w:rsidRDefault="00FF3066" w:rsidP="00FF3066">
      <w:pPr>
        <w:spacing w:after="0" w:line="240" w:lineRule="auto"/>
        <w:jc w:val="center"/>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Supreme Court of the United States.</w:t>
      </w:r>
    </w:p>
    <w:p w:rsidR="00FF3066" w:rsidRPr="00FF3066" w:rsidRDefault="00FF3066" w:rsidP="00FF3066">
      <w:pPr>
        <w:spacing w:after="0" w:line="240" w:lineRule="auto"/>
        <w:jc w:val="center"/>
        <w:rPr>
          <w:rFonts w:ascii="Times New Roman" w:eastAsia="Times New Roman" w:hAnsi="Times New Roman" w:cs="Times New Roman"/>
          <w:sz w:val="24"/>
          <w:szCs w:val="24"/>
        </w:rPr>
      </w:pPr>
      <w:bookmarkStart w:id="1" w:name="I9aede7768b0f11e498db8b09b4f043e0"/>
      <w:bookmarkEnd w:id="1"/>
      <w:r w:rsidRPr="00FF3066">
        <w:rPr>
          <w:rFonts w:ascii="Times New Roman" w:eastAsia="Times New Roman" w:hAnsi="Times New Roman" w:cs="Times New Roman"/>
          <w:sz w:val="24"/>
          <w:szCs w:val="24"/>
        </w:rPr>
        <w:t>STATE OF OKLAHOMA, ex rel. E. Scott Pruitt, Attorney General of Oklahoma, Petitioner,</w:t>
      </w:r>
      <w:r w:rsidRPr="00FF3066">
        <w:rPr>
          <w:rFonts w:ascii="Times New Roman" w:eastAsia="Times New Roman" w:hAnsi="Times New Roman" w:cs="Times New Roman"/>
          <w:sz w:val="24"/>
          <w:szCs w:val="24"/>
        </w:rPr>
        <w:br/>
        <w:t>v.</w:t>
      </w:r>
      <w:r w:rsidRPr="00FF3066">
        <w:rPr>
          <w:rFonts w:ascii="Times New Roman" w:eastAsia="Times New Roman" w:hAnsi="Times New Roman" w:cs="Times New Roman"/>
          <w:sz w:val="24"/>
          <w:szCs w:val="24"/>
        </w:rPr>
        <w:br/>
        <w:t>Sylvia BURWELL, Secretary of Health and Human Services, et al.</w:t>
      </w:r>
    </w:p>
    <w:p w:rsidR="00FF3066" w:rsidRPr="00FF3066" w:rsidRDefault="00FF3066" w:rsidP="00FF3066">
      <w:pPr>
        <w:spacing w:after="0" w:line="240" w:lineRule="auto"/>
        <w:jc w:val="center"/>
        <w:rPr>
          <w:rFonts w:ascii="Times New Roman" w:eastAsia="Times New Roman" w:hAnsi="Times New Roman" w:cs="Times New Roman"/>
          <w:sz w:val="24"/>
          <w:szCs w:val="24"/>
        </w:rPr>
      </w:pPr>
      <w:bookmarkStart w:id="2" w:name="I9aede7788b0f11e498db8b09b4f043e0"/>
      <w:bookmarkEnd w:id="2"/>
      <w:r w:rsidRPr="00FF3066">
        <w:rPr>
          <w:rFonts w:ascii="Times New Roman" w:eastAsia="Times New Roman" w:hAnsi="Times New Roman" w:cs="Times New Roman"/>
          <w:sz w:val="24"/>
          <w:szCs w:val="24"/>
        </w:rPr>
        <w:t xml:space="preserve">No. </w:t>
      </w:r>
      <w:bookmarkStart w:id="3" w:name="SR;81"/>
      <w:bookmarkStart w:id="4" w:name="SearchTerm"/>
      <w:bookmarkEnd w:id="3"/>
      <w:r w:rsidRPr="00FF3066">
        <w:rPr>
          <w:rFonts w:ascii="Times New Roman" w:eastAsia="Times New Roman" w:hAnsi="Times New Roman" w:cs="Times New Roman"/>
          <w:sz w:val="24"/>
          <w:szCs w:val="24"/>
        </w:rPr>
        <w:t>14-</w:t>
      </w:r>
      <w:bookmarkStart w:id="5" w:name="SR;82"/>
      <w:bookmarkEnd w:id="4"/>
      <w:bookmarkEnd w:id="5"/>
      <w:r w:rsidRPr="00FF3066">
        <w:rPr>
          <w:rFonts w:ascii="Times New Roman" w:eastAsia="Times New Roman" w:hAnsi="Times New Roman" w:cs="Times New Roman"/>
          <w:sz w:val="24"/>
          <w:szCs w:val="24"/>
        </w:rPr>
        <w:t>586.</w:t>
      </w:r>
    </w:p>
    <w:p w:rsidR="00FF3066" w:rsidRPr="00FF3066" w:rsidRDefault="00FF3066" w:rsidP="00FF3066">
      <w:pPr>
        <w:spacing w:after="240" w:line="240" w:lineRule="auto"/>
        <w:jc w:val="center"/>
        <w:rPr>
          <w:rFonts w:ascii="Times New Roman" w:eastAsia="Times New Roman" w:hAnsi="Times New Roman" w:cs="Times New Roman"/>
          <w:sz w:val="24"/>
          <w:szCs w:val="24"/>
        </w:rPr>
      </w:pPr>
      <w:bookmarkStart w:id="6" w:name="I9aede7798b0f11e498db8b09b4f043e0"/>
      <w:bookmarkEnd w:id="6"/>
      <w:r w:rsidRPr="00FF3066">
        <w:rPr>
          <w:rFonts w:ascii="Times New Roman" w:eastAsia="Times New Roman" w:hAnsi="Times New Roman" w:cs="Times New Roman"/>
          <w:sz w:val="24"/>
          <w:szCs w:val="24"/>
        </w:rPr>
        <w:t>December 22, 2014.</w:t>
      </w:r>
    </w:p>
    <w:p w:rsidR="00FF3066" w:rsidRPr="00FF3066" w:rsidRDefault="00FF3066" w:rsidP="00FF3066">
      <w:pPr>
        <w:spacing w:after="240"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On Petition for a Writ of Certiorari to the United States Court of Appeals for the Tenth Circuit</w:t>
      </w:r>
    </w:p>
    <w:p w:rsidR="00FF3066" w:rsidRPr="00FF3066" w:rsidRDefault="00FF3066" w:rsidP="00FF3066">
      <w:pPr>
        <w:spacing w:after="0" w:line="240" w:lineRule="auto"/>
        <w:jc w:val="center"/>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Brief for the Respondents in Opposition</w:t>
      </w:r>
    </w:p>
    <w:p w:rsidR="00FF3066" w:rsidRPr="00FF3066" w:rsidRDefault="00FF3066" w:rsidP="00FF3066">
      <w:pPr>
        <w:spacing w:after="240"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br/>
      </w:r>
      <w:bookmarkStart w:id="7" w:name="I9aede77a8b0f11e498db8b09b4f043e0"/>
      <w:bookmarkEnd w:id="7"/>
      <w:r w:rsidRPr="00FF3066">
        <w:rPr>
          <w:rFonts w:ascii="Times New Roman" w:eastAsia="Times New Roman" w:hAnsi="Times New Roman" w:cs="Times New Roman"/>
          <w:sz w:val="24"/>
          <w:szCs w:val="24"/>
        </w:rPr>
        <w:fldChar w:fldCharType="begin"/>
      </w:r>
      <w:r w:rsidRPr="00FF3066">
        <w:rPr>
          <w:rFonts w:ascii="Times New Roman" w:eastAsia="Times New Roman" w:hAnsi="Times New Roman" w:cs="Times New Roman"/>
          <w:sz w:val="24"/>
          <w:szCs w:val="24"/>
        </w:rPr>
        <w:instrText xml:space="preserve"> HYPERLINK "http://web2.westlaw.com/find/default.wl?mt=Westlaw&amp;db=PROFILER-WLD&amp;docname=0329204201&amp;rp=%2ffind%2fdefault.wl&amp;findtype=h&amp;ordoc=2035137420&amp;tc=-1&amp;vr=2.0&amp;fn=_top&amp;sv=Split&amp;tf=-1&amp;pbc=03ECC1AE&amp;rs=WLW14.10" \t "_top" </w:instrText>
      </w:r>
      <w:r w:rsidRPr="00FF3066">
        <w:rPr>
          <w:rFonts w:ascii="Times New Roman" w:eastAsia="Times New Roman" w:hAnsi="Times New Roman" w:cs="Times New Roman"/>
          <w:sz w:val="24"/>
          <w:szCs w:val="24"/>
        </w:rPr>
        <w:fldChar w:fldCharType="separate"/>
      </w:r>
      <w:r w:rsidRPr="00FF3066">
        <w:rPr>
          <w:rFonts w:ascii="Times New Roman" w:eastAsia="Times New Roman" w:hAnsi="Times New Roman" w:cs="Times New Roman"/>
          <w:color w:val="0000FF"/>
          <w:sz w:val="24"/>
          <w:szCs w:val="24"/>
          <w:u w:val="single"/>
        </w:rPr>
        <w:t>Donald B. Verrilli, Jr.</w:t>
      </w:r>
      <w:r w:rsidRPr="00FF3066">
        <w:rPr>
          <w:rFonts w:ascii="Times New Roman" w:eastAsia="Times New Roman" w:hAnsi="Times New Roman" w:cs="Times New Roman"/>
          <w:sz w:val="24"/>
          <w:szCs w:val="24"/>
        </w:rPr>
        <w:fldChar w:fldCharType="end"/>
      </w:r>
      <w:r w:rsidRPr="00FF3066">
        <w:rPr>
          <w:rFonts w:ascii="Times New Roman" w:eastAsia="Times New Roman" w:hAnsi="Times New Roman" w:cs="Times New Roman"/>
          <w:sz w:val="24"/>
          <w:szCs w:val="24"/>
        </w:rPr>
        <w:t xml:space="preserve">, Solicitor General, Counsel of Record, </w:t>
      </w:r>
      <w:hyperlink r:id="rId4" w:tgtFrame="_top" w:history="1">
        <w:r w:rsidRPr="00FF3066">
          <w:rPr>
            <w:rFonts w:ascii="Times New Roman" w:eastAsia="Times New Roman" w:hAnsi="Times New Roman" w:cs="Times New Roman"/>
            <w:color w:val="0000FF"/>
            <w:sz w:val="24"/>
            <w:szCs w:val="24"/>
            <w:u w:val="single"/>
          </w:rPr>
          <w:t>Joyce R. Branda</w:t>
        </w:r>
      </w:hyperlink>
      <w:r w:rsidRPr="00FF3066">
        <w:rPr>
          <w:rFonts w:ascii="Times New Roman" w:eastAsia="Times New Roman" w:hAnsi="Times New Roman" w:cs="Times New Roman"/>
          <w:sz w:val="24"/>
          <w:szCs w:val="24"/>
        </w:rPr>
        <w:t xml:space="preserve">, Acting Assistant Attorney, General, </w:t>
      </w:r>
      <w:hyperlink r:id="rId5" w:tgtFrame="_top" w:history="1">
        <w:r w:rsidRPr="00FF3066">
          <w:rPr>
            <w:rFonts w:ascii="Times New Roman" w:eastAsia="Times New Roman" w:hAnsi="Times New Roman" w:cs="Times New Roman"/>
            <w:color w:val="0000FF"/>
            <w:sz w:val="24"/>
            <w:szCs w:val="24"/>
            <w:u w:val="single"/>
          </w:rPr>
          <w:t>Mark B. Stern</w:t>
        </w:r>
      </w:hyperlink>
      <w:r w:rsidRPr="00FF3066">
        <w:rPr>
          <w:rFonts w:ascii="Times New Roman" w:eastAsia="Times New Roman" w:hAnsi="Times New Roman" w:cs="Times New Roman"/>
          <w:sz w:val="24"/>
          <w:szCs w:val="24"/>
        </w:rPr>
        <w:t xml:space="preserve">, </w:t>
      </w:r>
      <w:hyperlink r:id="rId6" w:tgtFrame="_top" w:history="1">
        <w:r w:rsidRPr="00FF3066">
          <w:rPr>
            <w:rFonts w:ascii="Times New Roman" w:eastAsia="Times New Roman" w:hAnsi="Times New Roman" w:cs="Times New Roman"/>
            <w:color w:val="0000FF"/>
            <w:sz w:val="24"/>
            <w:szCs w:val="24"/>
            <w:u w:val="single"/>
          </w:rPr>
          <w:t>Alisa B. Klein</w:t>
        </w:r>
      </w:hyperlink>
      <w:r w:rsidRPr="00FF3066">
        <w:rPr>
          <w:rFonts w:ascii="Times New Roman" w:eastAsia="Times New Roman" w:hAnsi="Times New Roman" w:cs="Times New Roman"/>
          <w:sz w:val="24"/>
          <w:szCs w:val="24"/>
        </w:rPr>
        <w:t>, Attorneys, Department of Justice, Washington, D.C. 20530-0001, SupremeCtBriefs@usdoj.gov, (202) 514-2217.</w:t>
      </w:r>
      <w:bookmarkStart w:id="8" w:name="I9aede77b8b0f11e498db8b09b4f043e0"/>
      <w:bookmarkEnd w:id="8"/>
    </w:p>
    <w:p w:rsidR="00FF3066" w:rsidRPr="00FF3066" w:rsidRDefault="00FF3066" w:rsidP="00FF3066">
      <w:pPr>
        <w:spacing w:after="0" w:line="240" w:lineRule="auto"/>
        <w:jc w:val="center"/>
        <w:rPr>
          <w:rFonts w:ascii="Times New Roman" w:eastAsia="Times New Roman" w:hAnsi="Times New Roman" w:cs="Times New Roman"/>
          <w:sz w:val="24"/>
          <w:szCs w:val="24"/>
        </w:rPr>
      </w:pPr>
      <w:bookmarkStart w:id="9" w:name="sp_808_I"/>
      <w:bookmarkStart w:id="10" w:name="SDU_I"/>
      <w:bookmarkEnd w:id="9"/>
      <w:bookmarkEnd w:id="10"/>
      <w:r w:rsidRPr="00FF3066">
        <w:rPr>
          <w:rFonts w:ascii="Times New Roman" w:eastAsia="Times New Roman" w:hAnsi="Times New Roman" w:cs="Times New Roman"/>
          <w:sz w:val="24"/>
          <w:szCs w:val="24"/>
        </w:rPr>
        <w:t>*I QUESTION PRESENTED</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The Patient Protection and Affordable Care Act, </w:t>
      </w:r>
      <w:hyperlink r:id="rId7" w:tgtFrame="_top" w:history="1">
        <w:r w:rsidRPr="00FF3066">
          <w:rPr>
            <w:rFonts w:ascii="Times New Roman" w:eastAsia="Times New Roman" w:hAnsi="Times New Roman" w:cs="Times New Roman"/>
            <w:color w:val="0000FF"/>
            <w:sz w:val="24"/>
            <w:szCs w:val="24"/>
            <w:u w:val="single"/>
          </w:rPr>
          <w:t>Pub. L. No. 111-148, 124 Stat. 119,</w:t>
        </w:r>
      </w:hyperlink>
      <w:r w:rsidRPr="00FF3066">
        <w:rPr>
          <w:rFonts w:ascii="Times New Roman" w:eastAsia="Times New Roman" w:hAnsi="Times New Roman" w:cs="Times New Roman"/>
          <w:sz w:val="24"/>
          <w:szCs w:val="24"/>
        </w:rPr>
        <w:t xml:space="preserve"> provides federal tax credits to help low- and moderate-income Americans purchase health insurance through state-specific marketplaces called “Exchanges.” The Act provides that each State “shall *** establish” an Exchange, </w:t>
      </w:r>
      <w:hyperlink r:id="rId8" w:tgtFrame="_top" w:history="1">
        <w:r w:rsidRPr="00FF3066">
          <w:rPr>
            <w:rFonts w:ascii="Times New Roman" w:eastAsia="Times New Roman" w:hAnsi="Times New Roman" w:cs="Times New Roman"/>
            <w:color w:val="0000FF"/>
            <w:sz w:val="24"/>
            <w:szCs w:val="24"/>
            <w:u w:val="single"/>
          </w:rPr>
          <w:t>42 U.S.C. 18031(b)(1)</w:t>
        </w:r>
      </w:hyperlink>
      <w:r w:rsidRPr="00FF3066">
        <w:rPr>
          <w:rFonts w:ascii="Times New Roman" w:eastAsia="Times New Roman" w:hAnsi="Times New Roman" w:cs="Times New Roman"/>
          <w:sz w:val="24"/>
          <w:szCs w:val="24"/>
        </w:rPr>
        <w:t xml:space="preserve">, and further provides that if a State does not establish the “required Exchange” for itself, the Secretary of Health and Human Services (HHS) “shall *** establish and operate such Exchange within the State,” </w:t>
      </w:r>
      <w:hyperlink r:id="rId9" w:tgtFrame="_top" w:history="1">
        <w:r w:rsidRPr="00FF3066">
          <w:rPr>
            <w:rFonts w:ascii="Times New Roman" w:eastAsia="Times New Roman" w:hAnsi="Times New Roman" w:cs="Times New Roman"/>
            <w:color w:val="0000FF"/>
            <w:sz w:val="24"/>
            <w:szCs w:val="24"/>
            <w:u w:val="single"/>
          </w:rPr>
          <w:t>42 U.S.C. 18041(c)(1)</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The formula for calculating the amount of the tax credit available to an eligible taxpayer is based in part on the cost of an insurance plan “offered in the individual market within a State” that was “enrolled in through an Exchange established by the State under [</w:t>
      </w:r>
      <w:hyperlink r:id="rId10" w:tgtFrame="_top" w:history="1">
        <w:r w:rsidRPr="00FF3066">
          <w:rPr>
            <w:rFonts w:ascii="Times New Roman" w:eastAsia="Times New Roman" w:hAnsi="Times New Roman" w:cs="Times New Roman"/>
            <w:color w:val="0000FF"/>
            <w:sz w:val="24"/>
            <w:szCs w:val="24"/>
            <w:u w:val="single"/>
          </w:rPr>
          <w:t>42 U.S.C. 18031</w:t>
        </w:r>
      </w:hyperlink>
      <w:r w:rsidRPr="00FF3066">
        <w:rPr>
          <w:rFonts w:ascii="Times New Roman" w:eastAsia="Times New Roman" w:hAnsi="Times New Roman" w:cs="Times New Roman"/>
          <w:sz w:val="24"/>
          <w:szCs w:val="24"/>
        </w:rPr>
        <w:t xml:space="preserve">].” </w:t>
      </w:r>
      <w:hyperlink r:id="rId11" w:tgtFrame="_top" w:history="1">
        <w:r w:rsidRPr="00FF3066">
          <w:rPr>
            <w:rFonts w:ascii="Times New Roman" w:eastAsia="Times New Roman" w:hAnsi="Times New Roman" w:cs="Times New Roman"/>
            <w:color w:val="0000FF"/>
            <w:sz w:val="24"/>
            <w:szCs w:val="24"/>
            <w:u w:val="single"/>
          </w:rPr>
          <w:t>26 U.S.C. 36B(b)(2)(A)</w:t>
        </w:r>
      </w:hyperlink>
      <w:r w:rsidRPr="00FF3066">
        <w:rPr>
          <w:rFonts w:ascii="Times New Roman" w:eastAsia="Times New Roman" w:hAnsi="Times New Roman" w:cs="Times New Roman"/>
          <w:sz w:val="24"/>
          <w:szCs w:val="24"/>
        </w:rPr>
        <w:t xml:space="preserve">; see also </w:t>
      </w:r>
      <w:hyperlink r:id="rId12" w:tgtFrame="_top" w:history="1">
        <w:r w:rsidRPr="00FF3066">
          <w:rPr>
            <w:rFonts w:ascii="Times New Roman" w:eastAsia="Times New Roman" w:hAnsi="Times New Roman" w:cs="Times New Roman"/>
            <w:color w:val="0000FF"/>
            <w:sz w:val="24"/>
            <w:szCs w:val="24"/>
            <w:u w:val="single"/>
          </w:rPr>
          <w:t>26 U.S.C. 36B(c)(2)(A)(</w:t>
        </w:r>
        <w:proofErr w:type="spellStart"/>
        <w:r w:rsidRPr="00FF3066">
          <w:rPr>
            <w:rFonts w:ascii="Times New Roman" w:eastAsia="Times New Roman" w:hAnsi="Times New Roman" w:cs="Times New Roman"/>
            <w:color w:val="0000FF"/>
            <w:sz w:val="24"/>
            <w:szCs w:val="24"/>
            <w:u w:val="single"/>
          </w:rPr>
          <w:t>i</w:t>
        </w:r>
        <w:proofErr w:type="spellEnd"/>
        <w:r w:rsidRPr="00FF3066">
          <w:rPr>
            <w:rFonts w:ascii="Times New Roman" w:eastAsia="Times New Roman" w:hAnsi="Times New Roman" w:cs="Times New Roman"/>
            <w:color w:val="0000FF"/>
            <w:sz w:val="24"/>
            <w:szCs w:val="24"/>
            <w:u w:val="single"/>
          </w:rPr>
          <w:t>)</w:t>
        </w:r>
      </w:hyperlink>
      <w:r w:rsidRPr="00FF3066">
        <w:rPr>
          <w:rFonts w:ascii="Times New Roman" w:eastAsia="Times New Roman" w:hAnsi="Times New Roman" w:cs="Times New Roman"/>
          <w:sz w:val="24"/>
          <w:szCs w:val="24"/>
        </w:rPr>
        <w:t xml:space="preserve">. The Department of the Treasury, through notice-and-comment rulemaking, interpreted </w:t>
      </w:r>
      <w:hyperlink r:id="rId13"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to make tax credits available both in States that establish Exchanges for themselves and in States that opt to allow HHS to establish Exchanges in their stead. </w:t>
      </w:r>
      <w:hyperlink r:id="rId14" w:tgtFrame="_top" w:history="1">
        <w:r w:rsidRPr="00FF3066">
          <w:rPr>
            <w:rFonts w:ascii="Times New Roman" w:eastAsia="Times New Roman" w:hAnsi="Times New Roman" w:cs="Times New Roman"/>
            <w:color w:val="0000FF"/>
            <w:sz w:val="24"/>
            <w:szCs w:val="24"/>
            <w:u w:val="single"/>
          </w:rPr>
          <w:t>26 C.F.R. 1.36B-1(k)</w:t>
        </w:r>
      </w:hyperlink>
      <w:r w:rsidRPr="00FF3066">
        <w:rPr>
          <w:rFonts w:ascii="Times New Roman" w:eastAsia="Times New Roman" w:hAnsi="Times New Roman" w:cs="Times New Roman"/>
          <w:sz w:val="24"/>
          <w:szCs w:val="24"/>
        </w:rPr>
        <w:t xml:space="preserve">, </w:t>
      </w:r>
      <w:hyperlink r:id="rId15" w:tgtFrame="_top" w:history="1">
        <w:r w:rsidRPr="00FF3066">
          <w:rPr>
            <w:rFonts w:ascii="Times New Roman" w:eastAsia="Times New Roman" w:hAnsi="Times New Roman" w:cs="Times New Roman"/>
            <w:color w:val="0000FF"/>
            <w:sz w:val="24"/>
            <w:szCs w:val="24"/>
            <w:u w:val="single"/>
          </w:rPr>
          <w:t>1.36B-2(a)</w:t>
        </w:r>
      </w:hyperlink>
      <w:r w:rsidRPr="00FF3066">
        <w:rPr>
          <w:rFonts w:ascii="Times New Roman" w:eastAsia="Times New Roman" w:hAnsi="Times New Roman" w:cs="Times New Roman"/>
          <w:sz w:val="24"/>
          <w:szCs w:val="24"/>
        </w:rPr>
        <w:t xml:space="preserve">; see </w:t>
      </w:r>
      <w:hyperlink r:id="rId16" w:tgtFrame="_top" w:history="1">
        <w:r w:rsidRPr="00FF3066">
          <w:rPr>
            <w:rFonts w:ascii="Times New Roman" w:eastAsia="Times New Roman" w:hAnsi="Times New Roman" w:cs="Times New Roman"/>
            <w:color w:val="0000FF"/>
            <w:sz w:val="24"/>
            <w:szCs w:val="24"/>
            <w:u w:val="single"/>
          </w:rPr>
          <w:t>77 Fed. Reg. 30,377 (May 23, 2012)</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The question presented is whether the Department of the Treasury permissibly interpreted </w:t>
      </w:r>
      <w:hyperlink r:id="rId17"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to make federal premium tax credits available to taxpayers in every State.</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after="0" w:line="240" w:lineRule="auto"/>
        <w:jc w:val="center"/>
        <w:rPr>
          <w:rFonts w:ascii="Times New Roman" w:eastAsia="Times New Roman" w:hAnsi="Times New Roman" w:cs="Times New Roman"/>
          <w:sz w:val="24"/>
          <w:szCs w:val="24"/>
        </w:rPr>
      </w:pPr>
      <w:bookmarkStart w:id="11" w:name="sp_808_III"/>
      <w:bookmarkStart w:id="12" w:name="SDU_III"/>
      <w:bookmarkEnd w:id="11"/>
      <w:bookmarkEnd w:id="12"/>
      <w:r w:rsidRPr="00FF3066">
        <w:rPr>
          <w:rFonts w:ascii="Times New Roman" w:eastAsia="Times New Roman" w:hAnsi="Times New Roman" w:cs="Times New Roman"/>
          <w:sz w:val="24"/>
          <w:szCs w:val="24"/>
        </w:rPr>
        <w:t>*III TABLE OF CONTENTS</w:t>
      </w:r>
    </w:p>
    <w:p w:rsidR="00FF3066" w:rsidRPr="00FF3066" w:rsidRDefault="00FF3066" w:rsidP="00FF3066">
      <w:pPr>
        <w:spacing w:after="240"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Opinions below ... 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Jurisdiction ... 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Statement ... 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lastRenderedPageBreak/>
        <w:t>Argument ... 7</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Conclusion ...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Appendix - District court order (Aug. 12, 2013) ... 1a</w:t>
      </w:r>
    </w:p>
    <w:p w:rsidR="00FF3066" w:rsidRPr="00FF3066" w:rsidRDefault="00FF3066" w:rsidP="00FF3066">
      <w:pPr>
        <w:spacing w:after="0" w:line="240" w:lineRule="auto"/>
        <w:jc w:val="center"/>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TABLE OF AUTHORITIES</w:t>
      </w:r>
    </w:p>
    <w:p w:rsidR="00FF3066" w:rsidRPr="00FF3066" w:rsidRDefault="00FF3066" w:rsidP="00FF3066">
      <w:pPr>
        <w:spacing w:after="240"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Cases:</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18" w:tgtFrame="_top" w:history="1">
        <w:r w:rsidRPr="00FF3066">
          <w:rPr>
            <w:rFonts w:ascii="Times New Roman" w:eastAsia="Times New Roman" w:hAnsi="Times New Roman" w:cs="Times New Roman"/>
            <w:i/>
            <w:iCs/>
            <w:color w:val="0000FF"/>
            <w:sz w:val="24"/>
            <w:szCs w:val="24"/>
            <w:u w:val="single"/>
          </w:rPr>
          <w:t>Enochs v. Williams Packing &amp; Navigation Co.,</w:t>
        </w:r>
        <w:r w:rsidRPr="00FF3066">
          <w:rPr>
            <w:rFonts w:ascii="Times New Roman" w:eastAsia="Times New Roman" w:hAnsi="Times New Roman" w:cs="Times New Roman"/>
            <w:color w:val="0000FF"/>
            <w:sz w:val="24"/>
            <w:szCs w:val="24"/>
            <w:u w:val="single"/>
          </w:rPr>
          <w:t xml:space="preserve"> 370 U.S. 1 (1962)</w:t>
        </w:r>
      </w:hyperlink>
      <w:r w:rsidRPr="00FF3066">
        <w:rPr>
          <w:rFonts w:ascii="Times New Roman" w:eastAsia="Times New Roman" w:hAnsi="Times New Roman" w:cs="Times New Roman"/>
          <w:sz w:val="24"/>
          <w:szCs w:val="24"/>
        </w:rPr>
        <w:t xml:space="preserve"> ...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19" w:tgtFrame="_top" w:history="1">
        <w:r w:rsidRPr="00FF3066">
          <w:rPr>
            <w:rFonts w:ascii="Times New Roman" w:eastAsia="Times New Roman" w:hAnsi="Times New Roman" w:cs="Times New Roman"/>
            <w:i/>
            <w:iCs/>
            <w:color w:val="0000FF"/>
            <w:sz w:val="24"/>
            <w:szCs w:val="24"/>
            <w:u w:val="single"/>
          </w:rPr>
          <w:t>Halbig v. Burwell,</w:t>
        </w:r>
        <w:r w:rsidRPr="00FF3066">
          <w:rPr>
            <w:rFonts w:ascii="Times New Roman" w:eastAsia="Times New Roman" w:hAnsi="Times New Roman" w:cs="Times New Roman"/>
            <w:color w:val="0000FF"/>
            <w:sz w:val="24"/>
            <w:szCs w:val="24"/>
            <w:u w:val="single"/>
          </w:rPr>
          <w:t xml:space="preserve"> 758 F.3d 390 (D.C. Cir. 2014)</w:t>
        </w:r>
      </w:hyperlink>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reh'g</w:t>
      </w:r>
      <w:proofErr w:type="spellEnd"/>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granted, </w:t>
      </w:r>
      <w:hyperlink r:id="rId20" w:tgtFrame="_top" w:history="1">
        <w:r w:rsidRPr="00FF3066">
          <w:rPr>
            <w:rFonts w:ascii="Times New Roman" w:eastAsia="Times New Roman" w:hAnsi="Times New Roman" w:cs="Times New Roman"/>
            <w:color w:val="0000FF"/>
            <w:sz w:val="24"/>
            <w:szCs w:val="24"/>
            <w:u w:val="single"/>
          </w:rPr>
          <w:t>No. 14-5018, 2014 WL 4627181 (D.C. Cir. Sept. 4, 2014)</w:t>
        </w:r>
      </w:hyperlink>
      <w:r w:rsidRPr="00FF3066">
        <w:rPr>
          <w:rFonts w:ascii="Times New Roman" w:eastAsia="Times New Roman" w:hAnsi="Times New Roman" w:cs="Times New Roman"/>
          <w:sz w:val="24"/>
          <w:szCs w:val="24"/>
        </w:rPr>
        <w:t xml:space="preserve"> ... 7</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21" w:tgtFrame="_top" w:history="1">
        <w:r w:rsidRPr="00FF3066">
          <w:rPr>
            <w:rFonts w:ascii="Times New Roman" w:eastAsia="Times New Roman" w:hAnsi="Times New Roman" w:cs="Times New Roman"/>
            <w:i/>
            <w:iCs/>
            <w:color w:val="0000FF"/>
            <w:sz w:val="24"/>
            <w:szCs w:val="24"/>
            <w:u w:val="single"/>
          </w:rPr>
          <w:t>Halbig v. Sebelius,</w:t>
        </w:r>
        <w:r w:rsidRPr="00FF3066">
          <w:rPr>
            <w:rFonts w:ascii="Times New Roman" w:eastAsia="Times New Roman" w:hAnsi="Times New Roman" w:cs="Times New Roman"/>
            <w:color w:val="0000FF"/>
            <w:sz w:val="24"/>
            <w:szCs w:val="24"/>
            <w:u w:val="single"/>
          </w:rPr>
          <w:t xml:space="preserve"> No. 13-cv-623, 2014 WL 129023 (D.D.C. Jan. 15, 2014)</w:t>
        </w:r>
      </w:hyperlink>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rev'd</w:t>
      </w:r>
      <w:proofErr w:type="spellEnd"/>
      <w:r w:rsidRPr="00FF3066">
        <w:rPr>
          <w:rFonts w:ascii="Times New Roman" w:eastAsia="Times New Roman" w:hAnsi="Times New Roman" w:cs="Times New Roman"/>
          <w:sz w:val="24"/>
          <w:szCs w:val="24"/>
        </w:rPr>
        <w:t xml:space="preserve"> on other grounds, </w:t>
      </w:r>
      <w:hyperlink r:id="rId22" w:tgtFrame="_top" w:history="1">
        <w:r w:rsidRPr="00FF3066">
          <w:rPr>
            <w:rFonts w:ascii="Times New Roman" w:eastAsia="Times New Roman" w:hAnsi="Times New Roman" w:cs="Times New Roman"/>
            <w:color w:val="0000FF"/>
            <w:sz w:val="24"/>
            <w:szCs w:val="24"/>
            <w:u w:val="single"/>
          </w:rPr>
          <w:t>758 F.3d 390 (D.C. Cir. 2014)</w:t>
        </w:r>
      </w:hyperlink>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reh'g</w:t>
      </w:r>
      <w:proofErr w:type="spellEnd"/>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granted, </w:t>
      </w:r>
      <w:hyperlink r:id="rId23" w:tgtFrame="_top" w:history="1">
        <w:r w:rsidRPr="00FF3066">
          <w:rPr>
            <w:rFonts w:ascii="Times New Roman" w:eastAsia="Times New Roman" w:hAnsi="Times New Roman" w:cs="Times New Roman"/>
            <w:color w:val="0000FF"/>
            <w:sz w:val="24"/>
            <w:szCs w:val="24"/>
            <w:u w:val="single"/>
          </w:rPr>
          <w:t>No. 14-5018, 2014 WL 4627181 (Sept. 4, 2014)</w:t>
        </w:r>
      </w:hyperlink>
      <w:r w:rsidRPr="00FF3066">
        <w:rPr>
          <w:rFonts w:ascii="Times New Roman" w:eastAsia="Times New Roman" w:hAnsi="Times New Roman" w:cs="Times New Roman"/>
          <w:sz w:val="24"/>
          <w:szCs w:val="24"/>
        </w:rPr>
        <w:t xml:space="preserve"> ... 13,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24" w:tgtFrame="_top" w:history="1">
        <w:r w:rsidRPr="00FF3066">
          <w:rPr>
            <w:rFonts w:ascii="Times New Roman" w:eastAsia="Times New Roman" w:hAnsi="Times New Roman" w:cs="Times New Roman"/>
            <w:i/>
            <w:iCs/>
            <w:color w:val="0000FF"/>
            <w:sz w:val="24"/>
            <w:szCs w:val="24"/>
            <w:u w:val="single"/>
          </w:rPr>
          <w:t>King v. Burwell,</w:t>
        </w:r>
        <w:r w:rsidRPr="00FF3066">
          <w:rPr>
            <w:rFonts w:ascii="Times New Roman" w:eastAsia="Times New Roman" w:hAnsi="Times New Roman" w:cs="Times New Roman"/>
            <w:color w:val="0000FF"/>
            <w:sz w:val="24"/>
            <w:szCs w:val="24"/>
            <w:u w:val="single"/>
          </w:rPr>
          <w:t xml:space="preserve"> 759 F.3d 358 (4th Cir.)</w:t>
        </w:r>
      </w:hyperlink>
      <w:r w:rsidRPr="00FF3066">
        <w:rPr>
          <w:rFonts w:ascii="Times New Roman" w:eastAsia="Times New Roman" w:hAnsi="Times New Roman" w:cs="Times New Roman"/>
          <w:sz w:val="24"/>
          <w:szCs w:val="24"/>
        </w:rPr>
        <w:t>, cert. granted, No. 14-114 (Nov. 7, 2014) ... 2, 7</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25" w:tgtFrame="_top" w:history="1">
        <w:r w:rsidRPr="00FF3066">
          <w:rPr>
            <w:rFonts w:ascii="Times New Roman" w:eastAsia="Times New Roman" w:hAnsi="Times New Roman" w:cs="Times New Roman"/>
            <w:i/>
            <w:iCs/>
            <w:color w:val="0000FF"/>
            <w:sz w:val="24"/>
            <w:szCs w:val="24"/>
            <w:u w:val="single"/>
          </w:rPr>
          <w:t>Liberty Univ., Inc. v. Lew,</w:t>
        </w:r>
        <w:r w:rsidRPr="00FF3066">
          <w:rPr>
            <w:rFonts w:ascii="Times New Roman" w:eastAsia="Times New Roman" w:hAnsi="Times New Roman" w:cs="Times New Roman"/>
            <w:color w:val="0000FF"/>
            <w:sz w:val="24"/>
            <w:szCs w:val="24"/>
            <w:u w:val="single"/>
          </w:rPr>
          <w:t xml:space="preserve"> 733 F.3d 72 (4th Cir.)</w:t>
        </w:r>
      </w:hyperlink>
      <w:r w:rsidRPr="00FF3066">
        <w:rPr>
          <w:rFonts w:ascii="Times New Roman" w:eastAsia="Times New Roman" w:hAnsi="Times New Roman" w:cs="Times New Roman"/>
          <w:sz w:val="24"/>
          <w:szCs w:val="24"/>
        </w:rPr>
        <w:t xml:space="preserve">, cert. denied, </w:t>
      </w:r>
      <w:hyperlink r:id="rId26" w:tgtFrame="_top" w:history="1">
        <w:r w:rsidRPr="00FF3066">
          <w:rPr>
            <w:rFonts w:ascii="Times New Roman" w:eastAsia="Times New Roman" w:hAnsi="Times New Roman" w:cs="Times New Roman"/>
            <w:color w:val="0000FF"/>
            <w:sz w:val="24"/>
            <w:szCs w:val="24"/>
            <w:u w:val="single"/>
          </w:rPr>
          <w:t>134 S. Ct. 683 (2013)</w:t>
        </w:r>
      </w:hyperlink>
      <w:r w:rsidRPr="00FF3066">
        <w:rPr>
          <w:rFonts w:ascii="Times New Roman" w:eastAsia="Times New Roman" w:hAnsi="Times New Roman" w:cs="Times New Roman"/>
          <w:sz w:val="24"/>
          <w:szCs w:val="24"/>
        </w:rPr>
        <w:t xml:space="preserve"> ... 6, 13,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27" w:tgtFrame="_top" w:history="1">
        <w:r w:rsidRPr="00FF3066">
          <w:rPr>
            <w:rFonts w:ascii="Times New Roman" w:eastAsia="Times New Roman" w:hAnsi="Times New Roman" w:cs="Times New Roman"/>
            <w:i/>
            <w:iCs/>
            <w:color w:val="0000FF"/>
            <w:sz w:val="24"/>
            <w:szCs w:val="24"/>
            <w:u w:val="single"/>
          </w:rPr>
          <w:t>Massachusetts v. Mellon,</w:t>
        </w:r>
        <w:r w:rsidRPr="00FF3066">
          <w:rPr>
            <w:rFonts w:ascii="Times New Roman" w:eastAsia="Times New Roman" w:hAnsi="Times New Roman" w:cs="Times New Roman"/>
            <w:color w:val="0000FF"/>
            <w:sz w:val="24"/>
            <w:szCs w:val="24"/>
            <w:u w:val="single"/>
          </w:rPr>
          <w:t xml:space="preserve"> 262 U.S. 447 (1923)</w:t>
        </w:r>
      </w:hyperlink>
      <w:r w:rsidRPr="00FF3066">
        <w:rPr>
          <w:rFonts w:ascii="Times New Roman" w:eastAsia="Times New Roman" w:hAnsi="Times New Roman" w:cs="Times New Roman"/>
          <w:sz w:val="24"/>
          <w:szCs w:val="24"/>
        </w:rPr>
        <w:t xml:space="preserve"> ...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28" w:tgtFrame="_top" w:history="1">
        <w:r w:rsidRPr="00FF3066">
          <w:rPr>
            <w:rFonts w:ascii="Times New Roman" w:eastAsia="Times New Roman" w:hAnsi="Times New Roman" w:cs="Times New Roman"/>
            <w:i/>
            <w:iCs/>
            <w:color w:val="0000FF"/>
            <w:sz w:val="24"/>
            <w:szCs w:val="24"/>
            <w:u w:val="single"/>
          </w:rPr>
          <w:t>Monsanto Co. v. Geertson Seed Farms,</w:t>
        </w:r>
        <w:r w:rsidRPr="00FF3066">
          <w:rPr>
            <w:rFonts w:ascii="Times New Roman" w:eastAsia="Times New Roman" w:hAnsi="Times New Roman" w:cs="Times New Roman"/>
            <w:color w:val="0000FF"/>
            <w:sz w:val="24"/>
            <w:szCs w:val="24"/>
            <w:u w:val="single"/>
          </w:rPr>
          <w:t xml:space="preserve"> 561 U.S. 139 (2010)</w:t>
        </w:r>
      </w:hyperlink>
      <w:r w:rsidRPr="00FF3066">
        <w:rPr>
          <w:rFonts w:ascii="Times New Roman" w:eastAsia="Times New Roman" w:hAnsi="Times New Roman" w:cs="Times New Roman"/>
          <w:sz w:val="24"/>
          <w:szCs w:val="24"/>
        </w:rPr>
        <w:t xml:space="preserve"> ... 10,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29" w:tgtFrame="_top" w:history="1">
        <w:r w:rsidRPr="00FF3066">
          <w:rPr>
            <w:rFonts w:ascii="Times New Roman" w:eastAsia="Times New Roman" w:hAnsi="Times New Roman" w:cs="Times New Roman"/>
            <w:i/>
            <w:iCs/>
            <w:color w:val="0000FF"/>
            <w:sz w:val="24"/>
            <w:szCs w:val="24"/>
            <w:u w:val="single"/>
          </w:rPr>
          <w:t>National Fed'n of Indep. Bus. v. Sebelius,</w:t>
        </w:r>
        <w:r w:rsidRPr="00FF3066">
          <w:rPr>
            <w:rFonts w:ascii="Times New Roman" w:eastAsia="Times New Roman" w:hAnsi="Times New Roman" w:cs="Times New Roman"/>
            <w:color w:val="0000FF"/>
            <w:sz w:val="24"/>
            <w:szCs w:val="24"/>
            <w:u w:val="single"/>
          </w:rPr>
          <w:t xml:space="preserve"> 132 S. Ct. 2566 (2012)</w:t>
        </w:r>
      </w:hyperlink>
      <w:r w:rsidRPr="00FF3066">
        <w:rPr>
          <w:rFonts w:ascii="Times New Roman" w:eastAsia="Times New Roman" w:hAnsi="Times New Roman" w:cs="Times New Roman"/>
          <w:sz w:val="24"/>
          <w:szCs w:val="24"/>
        </w:rPr>
        <w:t xml:space="preserve"> ... 11, 12, 13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Constitution, statutes, regulations and rules</w:t>
      </w:r>
      <w:proofErr w:type="gramStart"/>
      <w:r w:rsidRPr="00FF3066">
        <w:rPr>
          <w:rFonts w:ascii="Times New Roman" w:eastAsia="Times New Roman" w:hAnsi="Times New Roman" w:cs="Times New Roman"/>
          <w:sz w:val="24"/>
          <w:szCs w:val="24"/>
        </w:rPr>
        <w:t>:</w:t>
      </w:r>
      <w:proofErr w:type="gramEnd"/>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U.S. Const.:</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Art. III ... 10,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Amend. ...... 17</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bookmarkStart w:id="13" w:name="sp_808_IV"/>
      <w:bookmarkStart w:id="14" w:name="SDU_IV"/>
      <w:bookmarkEnd w:id="13"/>
      <w:bookmarkEnd w:id="14"/>
      <w:r w:rsidRPr="00FF3066">
        <w:rPr>
          <w:rFonts w:ascii="Times New Roman" w:eastAsia="Times New Roman" w:hAnsi="Times New Roman" w:cs="Times New Roman"/>
          <w:sz w:val="24"/>
          <w:szCs w:val="24"/>
        </w:rPr>
        <w:t xml:space="preserve">*IV Anti-Injunction Act, </w:t>
      </w:r>
      <w:hyperlink r:id="rId30" w:tgtFrame="_top" w:history="1">
        <w:r w:rsidRPr="00FF3066">
          <w:rPr>
            <w:rFonts w:ascii="Times New Roman" w:eastAsia="Times New Roman" w:hAnsi="Times New Roman" w:cs="Times New Roman"/>
            <w:color w:val="0000FF"/>
            <w:sz w:val="24"/>
            <w:szCs w:val="24"/>
            <w:u w:val="single"/>
          </w:rPr>
          <w:t>26 U.S.C. 7421(a)</w:t>
        </w:r>
      </w:hyperlink>
      <w:r w:rsidRPr="00FF3066">
        <w:rPr>
          <w:rFonts w:ascii="Times New Roman" w:eastAsia="Times New Roman" w:hAnsi="Times New Roman" w:cs="Times New Roman"/>
          <w:sz w:val="24"/>
          <w:szCs w:val="24"/>
        </w:rPr>
        <w:t xml:space="preserve"> ... 5, 6, 11, 12, 13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 xml:space="preserve">Health Care and Education Reconciliation Act of 2010, </w:t>
      </w:r>
      <w:hyperlink r:id="rId31" w:tgtFrame="_top" w:history="1">
        <w:r w:rsidRPr="00FF3066">
          <w:rPr>
            <w:rFonts w:ascii="Times New Roman" w:eastAsia="Times New Roman" w:hAnsi="Times New Roman" w:cs="Times New Roman"/>
            <w:color w:val="0000FF"/>
            <w:sz w:val="24"/>
            <w:szCs w:val="24"/>
            <w:u w:val="single"/>
          </w:rPr>
          <w:t xml:space="preserve">Pub. L. No. 111-152, 124 Stat. 1029 </w:t>
        </w:r>
      </w:hyperlink>
      <w:r w:rsidRPr="00FF3066">
        <w:rPr>
          <w:rFonts w:ascii="Times New Roman" w:eastAsia="Times New Roman" w:hAnsi="Times New Roman" w:cs="Times New Roman"/>
          <w:sz w:val="24"/>
          <w:szCs w:val="24"/>
        </w:rPr>
        <w:t>... 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 xml:space="preserve">Patient Protection and Affordable Care Act, </w:t>
      </w:r>
      <w:hyperlink r:id="rId32" w:tgtFrame="_top" w:history="1">
        <w:r w:rsidRPr="00FF3066">
          <w:rPr>
            <w:rFonts w:ascii="Times New Roman" w:eastAsia="Times New Roman" w:hAnsi="Times New Roman" w:cs="Times New Roman"/>
            <w:color w:val="0000FF"/>
            <w:sz w:val="24"/>
            <w:szCs w:val="24"/>
            <w:u w:val="single"/>
          </w:rPr>
          <w:t xml:space="preserve">Pub. L. No. 111-148, 124 Stat. 119 </w:t>
        </w:r>
      </w:hyperlink>
      <w:r w:rsidRPr="00FF3066">
        <w:rPr>
          <w:rFonts w:ascii="Times New Roman" w:eastAsia="Times New Roman" w:hAnsi="Times New Roman" w:cs="Times New Roman"/>
          <w:sz w:val="24"/>
          <w:szCs w:val="24"/>
        </w:rPr>
        <w:t>... 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Tit. 1,124 Stat. 130 ... 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33" w:tgtFrame="_top" w:history="1">
        <w:r w:rsidRPr="00FF3066">
          <w:rPr>
            <w:rFonts w:ascii="Times New Roman" w:eastAsia="Times New Roman" w:hAnsi="Times New Roman" w:cs="Times New Roman"/>
            <w:color w:val="0000FF"/>
            <w:sz w:val="24"/>
            <w:szCs w:val="24"/>
            <w:u w:val="single"/>
          </w:rPr>
          <w:t>26 U.S.C. 36B</w:t>
        </w:r>
      </w:hyperlink>
      <w:r w:rsidRPr="00FF3066">
        <w:rPr>
          <w:rFonts w:ascii="Times New Roman" w:eastAsia="Times New Roman" w:hAnsi="Times New Roman" w:cs="Times New Roman"/>
          <w:sz w:val="24"/>
          <w:szCs w:val="24"/>
        </w:rPr>
        <w:t xml:space="preserve"> ... 3, 4, 5, 8</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lastRenderedPageBreak/>
        <w:br/>
      </w:r>
      <w:hyperlink r:id="rId34" w:tgtFrame="_top" w:history="1">
        <w:r w:rsidRPr="00FF3066">
          <w:rPr>
            <w:rFonts w:ascii="Times New Roman" w:eastAsia="Times New Roman" w:hAnsi="Times New Roman" w:cs="Times New Roman"/>
            <w:color w:val="0000FF"/>
            <w:sz w:val="24"/>
            <w:szCs w:val="24"/>
            <w:u w:val="single"/>
          </w:rPr>
          <w:t>26 U.S.C. 36B(a)</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35" w:tgtFrame="_top" w:history="1">
        <w:r w:rsidRPr="00FF3066">
          <w:rPr>
            <w:rFonts w:ascii="Times New Roman" w:eastAsia="Times New Roman" w:hAnsi="Times New Roman" w:cs="Times New Roman"/>
            <w:color w:val="0000FF"/>
            <w:sz w:val="24"/>
            <w:szCs w:val="24"/>
            <w:u w:val="single"/>
          </w:rPr>
          <w:t>26 U.S.C. 36B(b)</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36" w:tgtFrame="_top" w:history="1">
        <w:r w:rsidRPr="00FF3066">
          <w:rPr>
            <w:rFonts w:ascii="Times New Roman" w:eastAsia="Times New Roman" w:hAnsi="Times New Roman" w:cs="Times New Roman"/>
            <w:color w:val="0000FF"/>
            <w:sz w:val="24"/>
            <w:szCs w:val="24"/>
            <w:u w:val="single"/>
          </w:rPr>
          <w:t>26 U.S.C. 36B(b)(2)(A)</w:t>
        </w:r>
      </w:hyperlink>
      <w:r w:rsidRPr="00FF3066">
        <w:rPr>
          <w:rFonts w:ascii="Times New Roman" w:eastAsia="Times New Roman" w:hAnsi="Times New Roman" w:cs="Times New Roman"/>
          <w:sz w:val="24"/>
          <w:szCs w:val="24"/>
        </w:rPr>
        <w:t xml:space="preserve"> ...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37" w:tgtFrame="_top" w:history="1">
        <w:r w:rsidRPr="00FF3066">
          <w:rPr>
            <w:rFonts w:ascii="Times New Roman" w:eastAsia="Times New Roman" w:hAnsi="Times New Roman" w:cs="Times New Roman"/>
            <w:color w:val="0000FF"/>
            <w:sz w:val="24"/>
            <w:szCs w:val="24"/>
            <w:u w:val="single"/>
          </w:rPr>
          <w:t>26 U.S.C. 36B(c)(1)(A)</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38" w:tgtFrame="_top" w:history="1">
        <w:r w:rsidRPr="00FF3066">
          <w:rPr>
            <w:rFonts w:ascii="Times New Roman" w:eastAsia="Times New Roman" w:hAnsi="Times New Roman" w:cs="Times New Roman"/>
            <w:color w:val="0000FF"/>
            <w:sz w:val="24"/>
            <w:szCs w:val="24"/>
            <w:u w:val="single"/>
          </w:rPr>
          <w:t>26 U.S.C. 36B(c)(2)(A)(i)</w:t>
        </w:r>
      </w:hyperlink>
      <w:r w:rsidRPr="00FF3066">
        <w:rPr>
          <w:rFonts w:ascii="Times New Roman" w:eastAsia="Times New Roman" w:hAnsi="Times New Roman" w:cs="Times New Roman"/>
          <w:sz w:val="24"/>
          <w:szCs w:val="24"/>
        </w:rPr>
        <w:t xml:space="preserve"> ...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39" w:tgtFrame="_top" w:history="1">
        <w:r w:rsidRPr="00FF3066">
          <w:rPr>
            <w:rFonts w:ascii="Times New Roman" w:eastAsia="Times New Roman" w:hAnsi="Times New Roman" w:cs="Times New Roman"/>
            <w:color w:val="0000FF"/>
            <w:sz w:val="24"/>
            <w:szCs w:val="24"/>
            <w:u w:val="single"/>
          </w:rPr>
          <w:t>26 U.S.C. 275(a)(6)</w:t>
        </w:r>
      </w:hyperlink>
      <w:r w:rsidRPr="00FF3066">
        <w:rPr>
          <w:rFonts w:ascii="Times New Roman" w:eastAsia="Times New Roman" w:hAnsi="Times New Roman" w:cs="Times New Roman"/>
          <w:sz w:val="24"/>
          <w:szCs w:val="24"/>
        </w:rPr>
        <w:t xml:space="preserve"> ... 12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0" w:tgtFrame="_top" w:history="1">
        <w:r w:rsidRPr="00FF3066">
          <w:rPr>
            <w:rFonts w:ascii="Times New Roman" w:eastAsia="Times New Roman" w:hAnsi="Times New Roman" w:cs="Times New Roman"/>
            <w:color w:val="0000FF"/>
            <w:sz w:val="24"/>
            <w:szCs w:val="24"/>
            <w:u w:val="single"/>
          </w:rPr>
          <w:t>26 U.S.C. 4980H</w:t>
        </w:r>
      </w:hyperlink>
      <w:r w:rsidRPr="00FF3066">
        <w:rPr>
          <w:rFonts w:ascii="Times New Roman" w:eastAsia="Times New Roman" w:hAnsi="Times New Roman" w:cs="Times New Roman"/>
          <w:sz w:val="24"/>
          <w:szCs w:val="24"/>
        </w:rPr>
        <w:t xml:space="preserve"> ... </w:t>
      </w:r>
      <w:r w:rsidRPr="00FF3066">
        <w:rPr>
          <w:rFonts w:ascii="Times New Roman" w:eastAsia="Times New Roman" w:hAnsi="Times New Roman" w:cs="Times New Roman"/>
          <w:i/>
          <w:iCs/>
          <w:sz w:val="24"/>
          <w:szCs w:val="24"/>
        </w:rPr>
        <w:t>passim</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1" w:tgtFrame="_top" w:history="1">
        <w:r w:rsidRPr="00FF3066">
          <w:rPr>
            <w:rFonts w:ascii="Times New Roman" w:eastAsia="Times New Roman" w:hAnsi="Times New Roman" w:cs="Times New Roman"/>
            <w:color w:val="0000FF"/>
            <w:sz w:val="24"/>
            <w:szCs w:val="24"/>
            <w:u w:val="single"/>
          </w:rPr>
          <w:t>26 U.S.C. 4980H(b)(2)</w:t>
        </w:r>
      </w:hyperlink>
      <w:r w:rsidRPr="00FF3066">
        <w:rPr>
          <w:rFonts w:ascii="Times New Roman" w:eastAsia="Times New Roman" w:hAnsi="Times New Roman" w:cs="Times New Roman"/>
          <w:sz w:val="24"/>
          <w:szCs w:val="24"/>
        </w:rPr>
        <w:t xml:space="preserve"> ... 12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2" w:tgtFrame="_top" w:history="1">
        <w:r w:rsidRPr="00FF3066">
          <w:rPr>
            <w:rFonts w:ascii="Times New Roman" w:eastAsia="Times New Roman" w:hAnsi="Times New Roman" w:cs="Times New Roman"/>
            <w:color w:val="0000FF"/>
            <w:sz w:val="24"/>
            <w:szCs w:val="24"/>
            <w:u w:val="single"/>
          </w:rPr>
          <w:t>26 U.S.C. 4980H(c)(2)(D)</w:t>
        </w:r>
      </w:hyperlink>
      <w:r w:rsidRPr="00FF3066">
        <w:rPr>
          <w:rFonts w:ascii="Times New Roman" w:eastAsia="Times New Roman" w:hAnsi="Times New Roman" w:cs="Times New Roman"/>
          <w:sz w:val="24"/>
          <w:szCs w:val="24"/>
        </w:rPr>
        <w:t xml:space="preserve"> ... 13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3" w:tgtFrame="_top" w:history="1">
        <w:r w:rsidRPr="00FF3066">
          <w:rPr>
            <w:rFonts w:ascii="Times New Roman" w:eastAsia="Times New Roman" w:hAnsi="Times New Roman" w:cs="Times New Roman"/>
            <w:color w:val="0000FF"/>
            <w:sz w:val="24"/>
            <w:szCs w:val="24"/>
            <w:u w:val="single"/>
          </w:rPr>
          <w:t>26 U.S.C. 4980H(c)(7)</w:t>
        </w:r>
      </w:hyperlink>
      <w:r w:rsidRPr="00FF3066">
        <w:rPr>
          <w:rFonts w:ascii="Times New Roman" w:eastAsia="Times New Roman" w:hAnsi="Times New Roman" w:cs="Times New Roman"/>
          <w:sz w:val="24"/>
          <w:szCs w:val="24"/>
        </w:rPr>
        <w:t xml:space="preserve"> ... 12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4" w:tgtFrame="_top" w:history="1">
        <w:r w:rsidRPr="00FF3066">
          <w:rPr>
            <w:rFonts w:ascii="Times New Roman" w:eastAsia="Times New Roman" w:hAnsi="Times New Roman" w:cs="Times New Roman"/>
            <w:color w:val="0000FF"/>
            <w:sz w:val="24"/>
            <w:szCs w:val="24"/>
            <w:u w:val="single"/>
          </w:rPr>
          <w:t>26 U.S.C. 4980H(d)</w:t>
        </w:r>
      </w:hyperlink>
      <w:r w:rsidRPr="00FF3066">
        <w:rPr>
          <w:rFonts w:ascii="Times New Roman" w:eastAsia="Times New Roman" w:hAnsi="Times New Roman" w:cs="Times New Roman"/>
          <w:sz w:val="24"/>
          <w:szCs w:val="24"/>
        </w:rPr>
        <w:t xml:space="preserve"> ...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5" w:tgtFrame="_top" w:history="1">
        <w:r w:rsidRPr="00FF3066">
          <w:rPr>
            <w:rFonts w:ascii="Times New Roman" w:eastAsia="Times New Roman" w:hAnsi="Times New Roman" w:cs="Times New Roman"/>
            <w:color w:val="0000FF"/>
            <w:sz w:val="24"/>
            <w:szCs w:val="24"/>
            <w:u w:val="single"/>
          </w:rPr>
          <w:t>26 U.S.C. 4980H(d)(3)</w:t>
        </w:r>
      </w:hyperlink>
      <w:r w:rsidRPr="00FF3066">
        <w:rPr>
          <w:rFonts w:ascii="Times New Roman" w:eastAsia="Times New Roman" w:hAnsi="Times New Roman" w:cs="Times New Roman"/>
          <w:sz w:val="24"/>
          <w:szCs w:val="24"/>
        </w:rPr>
        <w:t xml:space="preserve"> ...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6" w:tgtFrame="_top" w:history="1">
        <w:r w:rsidRPr="00FF3066">
          <w:rPr>
            <w:rFonts w:ascii="Times New Roman" w:eastAsia="Times New Roman" w:hAnsi="Times New Roman" w:cs="Times New Roman"/>
            <w:color w:val="0000FF"/>
            <w:sz w:val="24"/>
            <w:szCs w:val="24"/>
            <w:u w:val="single"/>
          </w:rPr>
          <w:t>26 U.S.C. 5000A</w:t>
        </w:r>
      </w:hyperlink>
      <w:r w:rsidRPr="00FF3066">
        <w:rPr>
          <w:rFonts w:ascii="Times New Roman" w:eastAsia="Times New Roman" w:hAnsi="Times New Roman" w:cs="Times New Roman"/>
          <w:sz w:val="24"/>
          <w:szCs w:val="24"/>
        </w:rPr>
        <w:t xml:space="preserve"> ... 12, 13,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7" w:tgtFrame="_top" w:history="1">
        <w:r w:rsidRPr="00FF3066">
          <w:rPr>
            <w:rFonts w:ascii="Times New Roman" w:eastAsia="Times New Roman" w:hAnsi="Times New Roman" w:cs="Times New Roman"/>
            <w:color w:val="0000FF"/>
            <w:sz w:val="24"/>
            <w:szCs w:val="24"/>
            <w:u w:val="single"/>
          </w:rPr>
          <w:t>26 U.S.C. 5000A(b)</w:t>
        </w:r>
      </w:hyperlink>
      <w:r w:rsidRPr="00FF3066">
        <w:rPr>
          <w:rFonts w:ascii="Times New Roman" w:eastAsia="Times New Roman" w:hAnsi="Times New Roman" w:cs="Times New Roman"/>
          <w:sz w:val="24"/>
          <w:szCs w:val="24"/>
        </w:rPr>
        <w:t xml:space="preserve"> ... 12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8" w:tgtFrame="_top" w:history="1">
        <w:r w:rsidRPr="00FF3066">
          <w:rPr>
            <w:rFonts w:ascii="Times New Roman" w:eastAsia="Times New Roman" w:hAnsi="Times New Roman" w:cs="Times New Roman"/>
            <w:color w:val="0000FF"/>
            <w:sz w:val="24"/>
            <w:szCs w:val="24"/>
            <w:u w:val="single"/>
          </w:rPr>
          <w:t>26 U.S.C. 5000A(g)</w:t>
        </w:r>
      </w:hyperlink>
      <w:r w:rsidRPr="00FF3066">
        <w:rPr>
          <w:rFonts w:ascii="Times New Roman" w:eastAsia="Times New Roman" w:hAnsi="Times New Roman" w:cs="Times New Roman"/>
          <w:sz w:val="24"/>
          <w:szCs w:val="24"/>
        </w:rPr>
        <w:t xml:space="preserve"> ... 14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49" w:tgtFrame="_top" w:history="1">
        <w:r w:rsidRPr="00FF3066">
          <w:rPr>
            <w:rFonts w:ascii="Times New Roman" w:eastAsia="Times New Roman" w:hAnsi="Times New Roman" w:cs="Times New Roman"/>
            <w:color w:val="0000FF"/>
            <w:sz w:val="24"/>
            <w:szCs w:val="24"/>
            <w:u w:val="single"/>
          </w:rPr>
          <w:t>26 U.S.C. 5000A(g)(2)</w:t>
        </w:r>
      </w:hyperlink>
      <w:r w:rsidRPr="00FF3066">
        <w:rPr>
          <w:rFonts w:ascii="Times New Roman" w:eastAsia="Times New Roman" w:hAnsi="Times New Roman" w:cs="Times New Roman"/>
          <w:sz w:val="24"/>
          <w:szCs w:val="24"/>
        </w:rPr>
        <w:t xml:space="preserve"> ... 12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0" w:tgtFrame="_top" w:history="1">
        <w:r w:rsidRPr="00FF3066">
          <w:rPr>
            <w:rFonts w:ascii="Times New Roman" w:eastAsia="Times New Roman" w:hAnsi="Times New Roman" w:cs="Times New Roman"/>
            <w:color w:val="0000FF"/>
            <w:sz w:val="24"/>
            <w:szCs w:val="24"/>
            <w:u w:val="single"/>
          </w:rPr>
          <w:t>26 U.S.C. 6056</w:t>
        </w:r>
      </w:hyperlink>
      <w:r w:rsidRPr="00FF3066">
        <w:rPr>
          <w:rFonts w:ascii="Times New Roman" w:eastAsia="Times New Roman" w:hAnsi="Times New Roman" w:cs="Times New Roman"/>
          <w:sz w:val="24"/>
          <w:szCs w:val="24"/>
        </w:rPr>
        <w:t xml:space="preserve"> ...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1" w:tgtFrame="_top" w:history="1">
        <w:r w:rsidRPr="00FF3066">
          <w:rPr>
            <w:rFonts w:ascii="Times New Roman" w:eastAsia="Times New Roman" w:hAnsi="Times New Roman" w:cs="Times New Roman"/>
            <w:color w:val="0000FF"/>
            <w:sz w:val="24"/>
            <w:szCs w:val="24"/>
            <w:u w:val="single"/>
          </w:rPr>
          <w:t>26 U.S.C. 6056(a)</w:t>
        </w:r>
      </w:hyperlink>
      <w:r w:rsidRPr="00FF3066">
        <w:rPr>
          <w:rFonts w:ascii="Times New Roman" w:eastAsia="Times New Roman" w:hAnsi="Times New Roman" w:cs="Times New Roman"/>
          <w:sz w:val="24"/>
          <w:szCs w:val="24"/>
        </w:rPr>
        <w:t xml:space="preserve"> ...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2" w:tgtFrame="_top" w:history="1">
        <w:r w:rsidRPr="00FF3066">
          <w:rPr>
            <w:rFonts w:ascii="Times New Roman" w:eastAsia="Times New Roman" w:hAnsi="Times New Roman" w:cs="Times New Roman"/>
            <w:color w:val="0000FF"/>
            <w:sz w:val="24"/>
            <w:szCs w:val="24"/>
            <w:u w:val="single"/>
          </w:rPr>
          <w:t>42 U.S.C. 1396w-3(b)</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3" w:tgtFrame="_top" w:history="1">
        <w:r w:rsidRPr="00FF3066">
          <w:rPr>
            <w:rFonts w:ascii="Times New Roman" w:eastAsia="Times New Roman" w:hAnsi="Times New Roman" w:cs="Times New Roman"/>
            <w:color w:val="0000FF"/>
            <w:sz w:val="24"/>
            <w:szCs w:val="24"/>
            <w:u w:val="single"/>
          </w:rPr>
          <w:t>42 U.S.C. 1397ee(d)(3)(B)</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4" w:tgtFrame="_top" w:history="1">
        <w:r w:rsidRPr="00FF3066">
          <w:rPr>
            <w:rFonts w:ascii="Times New Roman" w:eastAsia="Times New Roman" w:hAnsi="Times New Roman" w:cs="Times New Roman"/>
            <w:color w:val="0000FF"/>
            <w:sz w:val="24"/>
            <w:szCs w:val="24"/>
            <w:u w:val="single"/>
          </w:rPr>
          <w:t>42 U.S.C. 1397ee(d)(3)(C)</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5" w:tgtFrame="_top" w:history="1">
        <w:r w:rsidRPr="00FF3066">
          <w:rPr>
            <w:rFonts w:ascii="Times New Roman" w:eastAsia="Times New Roman" w:hAnsi="Times New Roman" w:cs="Times New Roman"/>
            <w:color w:val="0000FF"/>
            <w:sz w:val="24"/>
            <w:szCs w:val="24"/>
            <w:u w:val="single"/>
          </w:rPr>
          <w:t>42 U.S.C. 18031</w:t>
        </w:r>
      </w:hyperlink>
      <w:r w:rsidRPr="00FF3066">
        <w:rPr>
          <w:rFonts w:ascii="Times New Roman" w:eastAsia="Times New Roman" w:hAnsi="Times New Roman" w:cs="Times New Roman"/>
          <w:sz w:val="24"/>
          <w:szCs w:val="24"/>
        </w:rPr>
        <w:t xml:space="preserve"> ...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6" w:tgtFrame="_top" w:history="1">
        <w:r w:rsidRPr="00FF3066">
          <w:rPr>
            <w:rFonts w:ascii="Times New Roman" w:eastAsia="Times New Roman" w:hAnsi="Times New Roman" w:cs="Times New Roman"/>
            <w:color w:val="0000FF"/>
            <w:sz w:val="24"/>
            <w:szCs w:val="24"/>
            <w:u w:val="single"/>
          </w:rPr>
          <w:t>42 U.S.C. 18031(b)(1)</w:t>
        </w:r>
      </w:hyperlink>
      <w:r w:rsidRPr="00FF3066">
        <w:rPr>
          <w:rFonts w:ascii="Times New Roman" w:eastAsia="Times New Roman" w:hAnsi="Times New Roman" w:cs="Times New Roman"/>
          <w:sz w:val="24"/>
          <w:szCs w:val="24"/>
        </w:rPr>
        <w:t xml:space="preserve"> ... 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lastRenderedPageBreak/>
        <w:br/>
      </w:r>
      <w:bookmarkStart w:id="15" w:name="sp_808_V"/>
      <w:bookmarkStart w:id="16" w:name="SDU_V"/>
      <w:bookmarkEnd w:id="15"/>
      <w:bookmarkEnd w:id="16"/>
      <w:r w:rsidRPr="00FF3066">
        <w:rPr>
          <w:rFonts w:ascii="Times New Roman" w:eastAsia="Times New Roman" w:hAnsi="Times New Roman" w:cs="Times New Roman"/>
          <w:sz w:val="24"/>
          <w:szCs w:val="24"/>
        </w:rPr>
        <w:t xml:space="preserve">*V </w:t>
      </w:r>
      <w:hyperlink r:id="rId57" w:tgtFrame="_top" w:history="1">
        <w:r w:rsidRPr="00FF3066">
          <w:rPr>
            <w:rFonts w:ascii="Times New Roman" w:eastAsia="Times New Roman" w:hAnsi="Times New Roman" w:cs="Times New Roman"/>
            <w:color w:val="0000FF"/>
            <w:sz w:val="24"/>
            <w:szCs w:val="24"/>
            <w:u w:val="single"/>
          </w:rPr>
          <w:t>42 U.S.C. 18031(e)(1)(B)</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8" w:tgtFrame="_top" w:history="1">
        <w:r w:rsidRPr="00FF3066">
          <w:rPr>
            <w:rFonts w:ascii="Times New Roman" w:eastAsia="Times New Roman" w:hAnsi="Times New Roman" w:cs="Times New Roman"/>
            <w:color w:val="0000FF"/>
            <w:sz w:val="24"/>
            <w:szCs w:val="24"/>
            <w:u w:val="single"/>
          </w:rPr>
          <w:t>42 U.S.C. 18032(f)(1)(A)</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59" w:tgtFrame="_top" w:history="1">
        <w:r w:rsidRPr="00FF3066">
          <w:rPr>
            <w:rFonts w:ascii="Times New Roman" w:eastAsia="Times New Roman" w:hAnsi="Times New Roman" w:cs="Times New Roman"/>
            <w:color w:val="0000FF"/>
            <w:sz w:val="24"/>
            <w:szCs w:val="24"/>
            <w:u w:val="single"/>
          </w:rPr>
          <w:t>42 U.S.C. 18041(c)(1)</w:t>
        </w:r>
      </w:hyperlink>
      <w:r w:rsidRPr="00FF3066">
        <w:rPr>
          <w:rFonts w:ascii="Times New Roman" w:eastAsia="Times New Roman" w:hAnsi="Times New Roman" w:cs="Times New Roman"/>
          <w:sz w:val="24"/>
          <w:szCs w:val="24"/>
        </w:rPr>
        <w:t xml:space="preserve"> ... 3</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60" w:tgtFrame="_top" w:history="1">
        <w:r w:rsidRPr="00FF3066">
          <w:rPr>
            <w:rFonts w:ascii="Times New Roman" w:eastAsia="Times New Roman" w:hAnsi="Times New Roman" w:cs="Times New Roman"/>
            <w:color w:val="0000FF"/>
            <w:sz w:val="24"/>
            <w:szCs w:val="24"/>
            <w:u w:val="single"/>
          </w:rPr>
          <w:t>42 U.S.C. 18081(f)(2)(A)</w:t>
        </w:r>
      </w:hyperlink>
      <w:r w:rsidRPr="00FF3066">
        <w:rPr>
          <w:rFonts w:ascii="Times New Roman" w:eastAsia="Times New Roman" w:hAnsi="Times New Roman" w:cs="Times New Roman"/>
          <w:sz w:val="24"/>
          <w:szCs w:val="24"/>
        </w:rPr>
        <w:t xml:space="preserve"> ... 12</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26 C.F.R.:</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61" w:tgtFrame="_top" w:history="1">
        <w:r w:rsidRPr="00FF3066">
          <w:rPr>
            <w:rFonts w:ascii="Times New Roman" w:eastAsia="Times New Roman" w:hAnsi="Times New Roman" w:cs="Times New Roman"/>
            <w:color w:val="0000FF"/>
            <w:sz w:val="24"/>
            <w:szCs w:val="24"/>
            <w:u w:val="single"/>
          </w:rPr>
          <w:t>Section 1.36B-1(k)</w:t>
        </w:r>
      </w:hyperlink>
      <w:r w:rsidRPr="00FF3066">
        <w:rPr>
          <w:rFonts w:ascii="Times New Roman" w:eastAsia="Times New Roman" w:hAnsi="Times New Roman" w:cs="Times New Roman"/>
          <w:sz w:val="24"/>
          <w:szCs w:val="24"/>
        </w:rPr>
        <w:t xml:space="preserve"> ...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Section 301.6056-1 ... 11</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62" w:tgtFrame="_top" w:history="1">
        <w:r w:rsidRPr="00FF3066">
          <w:rPr>
            <w:rFonts w:ascii="Times New Roman" w:eastAsia="Times New Roman" w:hAnsi="Times New Roman" w:cs="Times New Roman"/>
            <w:color w:val="0000FF"/>
            <w:sz w:val="24"/>
            <w:szCs w:val="24"/>
            <w:u w:val="single"/>
          </w:rPr>
          <w:t>45 C.F.R. 155.20</w:t>
        </w:r>
      </w:hyperlink>
      <w:r w:rsidRPr="00FF3066">
        <w:rPr>
          <w:rFonts w:ascii="Times New Roman" w:eastAsia="Times New Roman" w:hAnsi="Times New Roman" w:cs="Times New Roman"/>
          <w:sz w:val="24"/>
          <w:szCs w:val="24"/>
        </w:rPr>
        <w:t xml:space="preserve"> ... 3,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Sup. Ct. R.:</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Rule 11 ... 8</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Rule 37 ... 8</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Miscellaneous:</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 xml:space="preserve">Amy Burke et al., </w:t>
      </w:r>
      <w:r w:rsidRPr="00FF3066">
        <w:rPr>
          <w:rFonts w:ascii="Times New Roman" w:eastAsia="Times New Roman" w:hAnsi="Times New Roman" w:cs="Times New Roman"/>
          <w:i/>
          <w:iCs/>
          <w:sz w:val="24"/>
          <w:szCs w:val="24"/>
        </w:rPr>
        <w:t>ASPE Research Brief: Premium Affordability, Competition, and Choice in the Health Insurance Marketplace, 2014</w:t>
      </w:r>
      <w:r w:rsidRPr="00FF3066">
        <w:rPr>
          <w:rFonts w:ascii="Times New Roman" w:eastAsia="Times New Roman" w:hAnsi="Times New Roman" w:cs="Times New Roman"/>
          <w:sz w:val="24"/>
          <w:szCs w:val="24"/>
        </w:rPr>
        <w:t xml:space="preserve"> (June 18, 2014), http:// aspe.hhs.gov/health/reports/2014/Premiums/2014MktPlacePremBrf.pdf ...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r>
      <w:hyperlink r:id="rId63" w:tgtFrame="_top" w:history="1">
        <w:r w:rsidRPr="00FF3066">
          <w:rPr>
            <w:rFonts w:ascii="Times New Roman" w:eastAsia="Times New Roman" w:hAnsi="Times New Roman" w:cs="Times New Roman"/>
            <w:color w:val="0000FF"/>
            <w:sz w:val="24"/>
            <w:szCs w:val="24"/>
            <w:u w:val="single"/>
          </w:rPr>
          <w:t>77 Fed. Reg. 30,377 (May 23, 2012)</w:t>
        </w:r>
      </w:hyperlink>
      <w:r w:rsidRPr="00FF3066">
        <w:rPr>
          <w:rFonts w:ascii="Times New Roman" w:eastAsia="Times New Roman" w:hAnsi="Times New Roman" w:cs="Times New Roman"/>
          <w:sz w:val="24"/>
          <w:szCs w:val="24"/>
        </w:rPr>
        <w:t xml:space="preserve"> ... 4</w:t>
      </w:r>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 xml:space="preserve">HHS, </w:t>
      </w:r>
      <w:r w:rsidRPr="00FF3066">
        <w:rPr>
          <w:rFonts w:ascii="Times New Roman" w:eastAsia="Times New Roman" w:hAnsi="Times New Roman" w:cs="Times New Roman"/>
          <w:i/>
          <w:iCs/>
          <w:sz w:val="24"/>
          <w:szCs w:val="24"/>
        </w:rPr>
        <w:t>Health Insurance Marketplace: Summary Enrollment Report for the Initial Annual Open Enrollment Period</w:t>
      </w:r>
      <w:r w:rsidRPr="00FF3066">
        <w:rPr>
          <w:rFonts w:ascii="Times New Roman" w:eastAsia="Times New Roman" w:hAnsi="Times New Roman" w:cs="Times New Roman"/>
          <w:sz w:val="24"/>
          <w:szCs w:val="24"/>
        </w:rPr>
        <w:t xml:space="preserve"> (May 1, 2014), http:// aspe.hhs.gov/health/reports/2014/MarketPlaceEnrollment/Apr2014/ib_2014Apr_ enrollment.pdf ... 4</w:t>
      </w:r>
    </w:p>
    <w:p w:rsidR="00FF3066" w:rsidRPr="00FF3066" w:rsidRDefault="00FF3066" w:rsidP="00FF3066">
      <w:pPr>
        <w:spacing w:after="0" w:line="240" w:lineRule="auto"/>
        <w:jc w:val="center"/>
        <w:rPr>
          <w:rFonts w:ascii="Times New Roman" w:eastAsia="Times New Roman" w:hAnsi="Times New Roman" w:cs="Times New Roman"/>
          <w:sz w:val="24"/>
          <w:szCs w:val="24"/>
        </w:rPr>
      </w:pPr>
      <w:bookmarkStart w:id="17" w:name="sp_808_1"/>
      <w:bookmarkStart w:id="18" w:name="SDU_1"/>
      <w:bookmarkEnd w:id="17"/>
      <w:bookmarkEnd w:id="18"/>
      <w:r w:rsidRPr="00FF3066">
        <w:rPr>
          <w:rFonts w:ascii="Times New Roman" w:eastAsia="Times New Roman" w:hAnsi="Times New Roman" w:cs="Times New Roman"/>
          <w:caps/>
          <w:sz w:val="24"/>
          <w:szCs w:val="24"/>
        </w:rPr>
        <w:t>*1 OPINIONS BELOW</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The order of the district court granting summary judgment for petitioner (Pet. App. 1-25) is not yet published in the </w:t>
      </w:r>
      <w:r w:rsidRPr="00FF3066">
        <w:rPr>
          <w:rFonts w:ascii="Times New Roman" w:eastAsia="Times New Roman" w:hAnsi="Times New Roman" w:cs="Times New Roman"/>
          <w:i/>
          <w:iCs/>
          <w:sz w:val="24"/>
          <w:szCs w:val="24"/>
        </w:rPr>
        <w:t>Federal Supplement</w:t>
      </w:r>
      <w:r w:rsidRPr="00FF3066">
        <w:rPr>
          <w:rFonts w:ascii="Times New Roman" w:eastAsia="Times New Roman" w:hAnsi="Times New Roman" w:cs="Times New Roman"/>
          <w:sz w:val="24"/>
          <w:szCs w:val="24"/>
        </w:rPr>
        <w:t xml:space="preserve"> but is available at </w:t>
      </w:r>
      <w:hyperlink r:id="rId64" w:tgtFrame="_top" w:history="1">
        <w:r w:rsidRPr="00FF3066">
          <w:rPr>
            <w:rFonts w:ascii="Times New Roman" w:eastAsia="Times New Roman" w:hAnsi="Times New Roman" w:cs="Times New Roman"/>
            <w:color w:val="0000FF"/>
            <w:sz w:val="24"/>
            <w:szCs w:val="24"/>
            <w:u w:val="single"/>
          </w:rPr>
          <w:t>2014 WL 4854543</w:t>
        </w:r>
      </w:hyperlink>
      <w:r w:rsidRPr="00FF3066">
        <w:rPr>
          <w:rFonts w:ascii="Times New Roman" w:eastAsia="Times New Roman" w:hAnsi="Times New Roman" w:cs="Times New Roman"/>
          <w:sz w:val="24"/>
          <w:szCs w:val="24"/>
        </w:rPr>
        <w:t xml:space="preserve">. The order of district court granting in part and denying in part the government's motion to dismiss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1a-31a) is unreported but is available at </w:t>
      </w:r>
      <w:hyperlink r:id="rId65" w:tgtFrame="_top" w:history="1">
        <w:r w:rsidRPr="00FF3066">
          <w:rPr>
            <w:rFonts w:ascii="Times New Roman" w:eastAsia="Times New Roman" w:hAnsi="Times New Roman" w:cs="Times New Roman"/>
            <w:color w:val="0000FF"/>
            <w:sz w:val="24"/>
            <w:szCs w:val="24"/>
            <w:u w:val="single"/>
          </w:rPr>
          <w:t>2013 WL 4052610</w:t>
        </w:r>
      </w:hyperlink>
      <w:r w:rsidRPr="00FF3066">
        <w:rPr>
          <w:rFonts w:ascii="Times New Roman" w:eastAsia="Times New Roman" w:hAnsi="Times New Roman" w:cs="Times New Roman"/>
          <w:sz w:val="24"/>
          <w:szCs w:val="24"/>
        </w:rPr>
        <w:t>.</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after="0" w:line="240" w:lineRule="auto"/>
        <w:jc w:val="center"/>
        <w:rPr>
          <w:rFonts w:ascii="Times New Roman" w:eastAsia="Times New Roman" w:hAnsi="Times New Roman" w:cs="Times New Roman"/>
          <w:sz w:val="24"/>
          <w:szCs w:val="24"/>
        </w:rPr>
      </w:pPr>
      <w:bookmarkStart w:id="19" w:name="sp_808_2"/>
      <w:bookmarkStart w:id="20" w:name="SDU_2"/>
      <w:bookmarkEnd w:id="19"/>
      <w:bookmarkEnd w:id="20"/>
      <w:r w:rsidRPr="00FF3066">
        <w:rPr>
          <w:rFonts w:ascii="Times New Roman" w:eastAsia="Times New Roman" w:hAnsi="Times New Roman" w:cs="Times New Roman"/>
          <w:caps/>
          <w:sz w:val="24"/>
          <w:szCs w:val="24"/>
        </w:rPr>
        <w:t>*2 JURISDICTION</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lastRenderedPageBreak/>
        <w:t xml:space="preserve">The judgment of the district court was entered on September 30, 2014. The government filed a notice of appeal on October 3, 2014. The petition for a writ of certiorari before the judgment of the court of appeals was filed on November 18, 2014. The jurisdiction of this Court is invoked under </w:t>
      </w:r>
      <w:hyperlink r:id="rId66" w:tgtFrame="_top" w:history="1">
        <w:r w:rsidRPr="00FF3066">
          <w:rPr>
            <w:rFonts w:ascii="Times New Roman" w:eastAsia="Times New Roman" w:hAnsi="Times New Roman" w:cs="Times New Roman"/>
            <w:color w:val="0000FF"/>
            <w:sz w:val="24"/>
            <w:szCs w:val="24"/>
            <w:u w:val="single"/>
          </w:rPr>
          <w:t>28 U.S.C. 1254(1)</w:t>
        </w:r>
      </w:hyperlink>
      <w:r w:rsidRPr="00FF3066">
        <w:rPr>
          <w:rFonts w:ascii="Times New Roman" w:eastAsia="Times New Roman" w:hAnsi="Times New Roman" w:cs="Times New Roman"/>
          <w:sz w:val="24"/>
          <w:szCs w:val="24"/>
        </w:rPr>
        <w:t xml:space="preserve">, </w:t>
      </w:r>
      <w:hyperlink r:id="rId67" w:tgtFrame="_top" w:history="1">
        <w:r w:rsidRPr="00FF3066">
          <w:rPr>
            <w:rFonts w:ascii="Times New Roman" w:eastAsia="Times New Roman" w:hAnsi="Times New Roman" w:cs="Times New Roman"/>
            <w:color w:val="0000FF"/>
            <w:sz w:val="24"/>
            <w:szCs w:val="24"/>
            <w:u w:val="single"/>
          </w:rPr>
          <w:t>2101(e)</w:t>
        </w:r>
      </w:hyperlink>
      <w:r w:rsidRPr="00FF3066">
        <w:rPr>
          <w:rFonts w:ascii="Times New Roman" w:eastAsia="Times New Roman" w:hAnsi="Times New Roman" w:cs="Times New Roman"/>
          <w:sz w:val="24"/>
          <w:szCs w:val="24"/>
        </w:rPr>
        <w:t>.</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after="0" w:line="240" w:lineRule="auto"/>
        <w:jc w:val="center"/>
        <w:rPr>
          <w:rFonts w:ascii="Times New Roman" w:eastAsia="Times New Roman" w:hAnsi="Times New Roman" w:cs="Times New Roman"/>
          <w:sz w:val="24"/>
          <w:szCs w:val="24"/>
        </w:rPr>
      </w:pPr>
      <w:r w:rsidRPr="00FF3066">
        <w:rPr>
          <w:rFonts w:ascii="Times New Roman" w:eastAsia="Times New Roman" w:hAnsi="Times New Roman" w:cs="Times New Roman"/>
          <w:caps/>
          <w:sz w:val="24"/>
          <w:szCs w:val="24"/>
        </w:rPr>
        <w:t>STATEMENT</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This case presents the same question that is already pending before this Court in </w:t>
      </w:r>
      <w:r w:rsidRPr="00FF3066">
        <w:rPr>
          <w:rFonts w:ascii="Times New Roman" w:eastAsia="Times New Roman" w:hAnsi="Times New Roman" w:cs="Times New Roman"/>
          <w:i/>
          <w:iCs/>
          <w:sz w:val="24"/>
          <w:szCs w:val="24"/>
        </w:rPr>
        <w:t>King v. Burwell,</w:t>
      </w:r>
      <w:r w:rsidRPr="00FF3066">
        <w:rPr>
          <w:rFonts w:ascii="Times New Roman" w:eastAsia="Times New Roman" w:hAnsi="Times New Roman" w:cs="Times New Roman"/>
          <w:sz w:val="24"/>
          <w:szCs w:val="24"/>
        </w:rPr>
        <w:t xml:space="preserve"> cert. granted, No. 14-114 (Nov. 7, 2014). The relevant background is set forth in the government's brief in opposition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and is summarized below.</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1. Congress enacted the Patient Protection and Affordable Care Act (Affordable Care Act or Act), </w:t>
      </w:r>
      <w:hyperlink r:id="rId68" w:tgtFrame="_top" w:history="1">
        <w:r w:rsidRPr="00FF3066">
          <w:rPr>
            <w:rFonts w:ascii="Times New Roman" w:eastAsia="Times New Roman" w:hAnsi="Times New Roman" w:cs="Times New Roman"/>
            <w:color w:val="0000FF"/>
            <w:sz w:val="24"/>
            <w:szCs w:val="24"/>
            <w:u w:val="single"/>
          </w:rPr>
          <w:t>Pub. L. No. 111-148, 124 Stat. 119</w:t>
        </w:r>
        <w:proofErr w:type="gramStart"/>
        <w:r w:rsidRPr="00FF3066">
          <w:rPr>
            <w:rFonts w:ascii="Times New Roman" w:eastAsia="Times New Roman" w:hAnsi="Times New Roman" w:cs="Times New Roman"/>
            <w:color w:val="0000FF"/>
            <w:sz w:val="24"/>
            <w:szCs w:val="24"/>
            <w:u w:val="single"/>
          </w:rPr>
          <w:t>,</w:t>
        </w:r>
        <w:proofErr w:type="gramEnd"/>
      </w:hyperlink>
      <w:r w:rsidRPr="00FF3066">
        <w:rPr>
          <w:rFonts w:ascii="Times New Roman" w:eastAsia="Times New Roman" w:hAnsi="Times New Roman" w:cs="Times New Roman"/>
          <w:sz w:val="24"/>
          <w:szCs w:val="24"/>
          <w:vertAlign w:val="superscript"/>
        </w:rPr>
        <w:t>[FN1]</w:t>
      </w:r>
      <w:r w:rsidRPr="00FF3066">
        <w:rPr>
          <w:rFonts w:ascii="Times New Roman" w:eastAsia="Times New Roman" w:hAnsi="Times New Roman" w:cs="Times New Roman"/>
          <w:sz w:val="24"/>
          <w:szCs w:val="24"/>
        </w:rPr>
        <w:t xml:space="preserve"> to provide “quality, affordable health care for all Americans,” Tit. I, 124 Stat. 130 (capitalization altered). To achieve that purpose, the Act relies on new federal tax credits that subsidize the purchase of health insurance by people who would otherwise lack access to affordable coverage. Those tax credits are “essential to fulfilling the Act's primary goals” and constitute a necessary precondition to the effective operation of the Act's central reforms. </w:t>
      </w:r>
      <w:hyperlink r:id="rId69" w:tgtFrame="_top" w:history="1">
        <w:r w:rsidRPr="00FF3066">
          <w:rPr>
            <w:rFonts w:ascii="Times New Roman" w:eastAsia="Times New Roman" w:hAnsi="Times New Roman" w:cs="Times New Roman"/>
            <w:i/>
            <w:iCs/>
            <w:color w:val="0000FF"/>
            <w:sz w:val="24"/>
            <w:szCs w:val="24"/>
            <w:u w:val="single"/>
          </w:rPr>
          <w:t>King v. Burwell,</w:t>
        </w:r>
        <w:r w:rsidRPr="00FF3066">
          <w:rPr>
            <w:rFonts w:ascii="Times New Roman" w:eastAsia="Times New Roman" w:hAnsi="Times New Roman" w:cs="Times New Roman"/>
            <w:color w:val="0000FF"/>
            <w:sz w:val="24"/>
            <w:szCs w:val="24"/>
            <w:u w:val="single"/>
          </w:rPr>
          <w:t xml:space="preserve"> 759 F.3d 358, 374-375 (4th Cir. 2014)</w:t>
        </w:r>
      </w:hyperlink>
      <w:r w:rsidRPr="00FF3066">
        <w:rPr>
          <w:rFonts w:ascii="Times New Roman" w:eastAsia="Times New Roman" w:hAnsi="Times New Roman" w:cs="Times New Roman"/>
          <w:sz w:val="24"/>
          <w:szCs w:val="24"/>
        </w:rPr>
        <w:t>, cert. granted, No. 14-114 (Nov. 7, 2014).</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FN1. Amended by the Health Care and Education Reconciliation Act of 2010, </w:t>
      </w:r>
      <w:hyperlink r:id="rId70" w:tgtFrame="_top" w:history="1">
        <w:r w:rsidRPr="00FF3066">
          <w:rPr>
            <w:rFonts w:ascii="Times New Roman" w:eastAsia="Times New Roman" w:hAnsi="Times New Roman" w:cs="Times New Roman"/>
            <w:color w:val="0000FF"/>
            <w:sz w:val="24"/>
            <w:szCs w:val="24"/>
            <w:u w:val="single"/>
          </w:rPr>
          <w:t>Pub. L. No. 111-152, 124 Stat. 1029.</w:t>
        </w:r>
      </w:hyperlink>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The Act's tax credits are made available through state-specific marketplaces called “Exchanges.” Congress provided that each State “shall *** establish” an Exchange. </w:t>
      </w:r>
      <w:hyperlink r:id="rId71" w:tgtFrame="_top" w:history="1">
        <w:r w:rsidRPr="00FF3066">
          <w:rPr>
            <w:rFonts w:ascii="Times New Roman" w:eastAsia="Times New Roman" w:hAnsi="Times New Roman" w:cs="Times New Roman"/>
            <w:color w:val="0000FF"/>
            <w:sz w:val="24"/>
            <w:szCs w:val="24"/>
            <w:u w:val="single"/>
          </w:rPr>
          <w:t>42 U.S.C. 18031(b</w:t>
        </w:r>
        <w:proofErr w:type="gramStart"/>
        <w:r w:rsidRPr="00FF3066">
          <w:rPr>
            <w:rFonts w:ascii="Times New Roman" w:eastAsia="Times New Roman" w:hAnsi="Times New Roman" w:cs="Times New Roman"/>
            <w:color w:val="0000FF"/>
            <w:sz w:val="24"/>
            <w:szCs w:val="24"/>
            <w:u w:val="single"/>
          </w:rPr>
          <w:t>)(</w:t>
        </w:r>
        <w:proofErr w:type="gramEnd"/>
        <w:r w:rsidRPr="00FF3066">
          <w:rPr>
            <w:rFonts w:ascii="Times New Roman" w:eastAsia="Times New Roman" w:hAnsi="Times New Roman" w:cs="Times New Roman"/>
            <w:color w:val="0000FF"/>
            <w:sz w:val="24"/>
            <w:szCs w:val="24"/>
            <w:u w:val="single"/>
          </w:rPr>
          <w:t>1)</w:t>
        </w:r>
      </w:hyperlink>
      <w:r w:rsidRPr="00FF3066">
        <w:rPr>
          <w:rFonts w:ascii="Times New Roman" w:eastAsia="Times New Roman" w:hAnsi="Times New Roman" w:cs="Times New Roman"/>
          <w:sz w:val="24"/>
          <w:szCs w:val="24"/>
        </w:rPr>
        <w:t>. But in a provision designed to afford “State flexibility,” Congress</w:t>
      </w:r>
      <w:bookmarkStart w:id="21" w:name="sp_808_3"/>
      <w:bookmarkStart w:id="22" w:name="SDU_3"/>
      <w:bookmarkEnd w:id="21"/>
      <w:bookmarkEnd w:id="22"/>
      <w:r w:rsidRPr="00FF3066">
        <w:rPr>
          <w:rFonts w:ascii="Times New Roman" w:eastAsia="Times New Roman" w:hAnsi="Times New Roman" w:cs="Times New Roman"/>
          <w:sz w:val="24"/>
          <w:szCs w:val="24"/>
        </w:rPr>
        <w:t xml:space="preserve"> *3 directed that if a State does not establish the “required Exchange” for itself, the Secretary of Health and Human Services (HHS) “shall *** establish and operate such Exchange within the State.” </w:t>
      </w:r>
      <w:hyperlink r:id="rId72" w:tgtFrame="_top" w:history="1">
        <w:r w:rsidRPr="00FF3066">
          <w:rPr>
            <w:rFonts w:ascii="Times New Roman" w:eastAsia="Times New Roman" w:hAnsi="Times New Roman" w:cs="Times New Roman"/>
            <w:color w:val="0000FF"/>
            <w:sz w:val="24"/>
            <w:szCs w:val="24"/>
            <w:u w:val="single"/>
          </w:rPr>
          <w:t>42 U.S.C. 18041(c)(1)</w:t>
        </w:r>
      </w:hyperlink>
      <w:r w:rsidRPr="00FF3066">
        <w:rPr>
          <w:rFonts w:ascii="Times New Roman" w:eastAsia="Times New Roman" w:hAnsi="Times New Roman" w:cs="Times New Roman"/>
          <w:sz w:val="24"/>
          <w:szCs w:val="24"/>
        </w:rPr>
        <w:t>. Thus far, 16 States and the District of Columbia have established Exchanges for themselves, while 34 States have opted to allow HHS to do so in their stead. An Exchange operated for a State by HHS is known as a “[f]</w:t>
      </w:r>
      <w:proofErr w:type="spellStart"/>
      <w:r w:rsidRPr="00FF3066">
        <w:rPr>
          <w:rFonts w:ascii="Times New Roman" w:eastAsia="Times New Roman" w:hAnsi="Times New Roman" w:cs="Times New Roman"/>
          <w:sz w:val="24"/>
          <w:szCs w:val="24"/>
        </w:rPr>
        <w:t>ederally</w:t>
      </w:r>
      <w:proofErr w:type="spellEnd"/>
      <w:r w:rsidRPr="00FF3066">
        <w:rPr>
          <w:rFonts w:ascii="Times New Roman" w:eastAsia="Times New Roman" w:hAnsi="Times New Roman" w:cs="Times New Roman"/>
          <w:sz w:val="24"/>
          <w:szCs w:val="24"/>
        </w:rPr>
        <w:t xml:space="preserve">-facilitated Exchange.” </w:t>
      </w:r>
      <w:hyperlink r:id="rId73" w:tgtFrame="_top" w:history="1">
        <w:r w:rsidRPr="00FF3066">
          <w:rPr>
            <w:rFonts w:ascii="Times New Roman" w:eastAsia="Times New Roman" w:hAnsi="Times New Roman" w:cs="Times New Roman"/>
            <w:color w:val="0000FF"/>
            <w:sz w:val="24"/>
            <w:szCs w:val="24"/>
            <w:u w:val="single"/>
          </w:rPr>
          <w:t>45 C.F.R. 155.20</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Exchanges play a central role in the Affordable Care Act and are addressed in dozens of the Act's provisions. Several provisions refer to the Exchange in a particular State by using the phrase “Exchange established by the State” or an equivalent formulation. The provisions directly or indirectly incorporating those formulations govern such fundamental matters as the individuals eligible to shop on the Exchange, </w:t>
      </w:r>
      <w:hyperlink r:id="rId74" w:tgtFrame="_top" w:history="1">
        <w:r w:rsidRPr="00FF3066">
          <w:rPr>
            <w:rFonts w:ascii="Times New Roman" w:eastAsia="Times New Roman" w:hAnsi="Times New Roman" w:cs="Times New Roman"/>
            <w:color w:val="0000FF"/>
            <w:sz w:val="24"/>
            <w:szCs w:val="24"/>
            <w:u w:val="single"/>
          </w:rPr>
          <w:t>42 U.S.C. 18032(f)(1)(A)</w:t>
        </w:r>
      </w:hyperlink>
      <w:r w:rsidRPr="00FF3066">
        <w:rPr>
          <w:rFonts w:ascii="Times New Roman" w:eastAsia="Times New Roman" w:hAnsi="Times New Roman" w:cs="Times New Roman"/>
          <w:sz w:val="24"/>
          <w:szCs w:val="24"/>
        </w:rPr>
        <w:t xml:space="preserve">; the insurance plans eligible to be sold on the Exchange, </w:t>
      </w:r>
      <w:hyperlink r:id="rId75" w:tgtFrame="_top" w:history="1">
        <w:r w:rsidRPr="00FF3066">
          <w:rPr>
            <w:rFonts w:ascii="Times New Roman" w:eastAsia="Times New Roman" w:hAnsi="Times New Roman" w:cs="Times New Roman"/>
            <w:color w:val="0000FF"/>
            <w:sz w:val="24"/>
            <w:szCs w:val="24"/>
            <w:u w:val="single"/>
          </w:rPr>
          <w:t>42 U.S.C. 18031(e)(1)(B)</w:t>
        </w:r>
      </w:hyperlink>
      <w:r w:rsidRPr="00FF3066">
        <w:rPr>
          <w:rFonts w:ascii="Times New Roman" w:eastAsia="Times New Roman" w:hAnsi="Times New Roman" w:cs="Times New Roman"/>
          <w:sz w:val="24"/>
          <w:szCs w:val="24"/>
        </w:rPr>
        <w:t xml:space="preserve">; and the relationship between the Exchange and the State's Medicaid and Children's Health Insurance Programs, </w:t>
      </w:r>
      <w:hyperlink r:id="rId76" w:tgtFrame="_top" w:history="1">
        <w:r w:rsidRPr="00FF3066">
          <w:rPr>
            <w:rFonts w:ascii="Times New Roman" w:eastAsia="Times New Roman" w:hAnsi="Times New Roman" w:cs="Times New Roman"/>
            <w:color w:val="0000FF"/>
            <w:sz w:val="24"/>
            <w:szCs w:val="24"/>
            <w:u w:val="single"/>
          </w:rPr>
          <w:t>42 U.S.C. 1396w-3(b)</w:t>
        </w:r>
      </w:hyperlink>
      <w:r w:rsidRPr="00FF3066">
        <w:rPr>
          <w:rFonts w:ascii="Times New Roman" w:eastAsia="Times New Roman" w:hAnsi="Times New Roman" w:cs="Times New Roman"/>
          <w:sz w:val="24"/>
          <w:szCs w:val="24"/>
        </w:rPr>
        <w:t xml:space="preserve">, </w:t>
      </w:r>
      <w:hyperlink r:id="rId77" w:tgtFrame="_top" w:history="1">
        <w:r w:rsidRPr="00FF3066">
          <w:rPr>
            <w:rFonts w:ascii="Times New Roman" w:eastAsia="Times New Roman" w:hAnsi="Times New Roman" w:cs="Times New Roman"/>
            <w:color w:val="0000FF"/>
            <w:sz w:val="24"/>
            <w:szCs w:val="24"/>
            <w:u w:val="single"/>
          </w:rPr>
          <w:t>1397ee(d)(3)(B) and (C)</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The provision of the Act setting forth the formula for calculating tax credits, </w:t>
      </w:r>
      <w:hyperlink r:id="rId78" w:tgtFrame="_top" w:history="1">
        <w:r w:rsidRPr="00FF3066">
          <w:rPr>
            <w:rFonts w:ascii="Times New Roman" w:eastAsia="Times New Roman" w:hAnsi="Times New Roman" w:cs="Times New Roman"/>
            <w:color w:val="0000FF"/>
            <w:sz w:val="24"/>
            <w:szCs w:val="24"/>
            <w:u w:val="single"/>
          </w:rPr>
          <w:t>26 U.S.C. 36B</w:t>
        </w:r>
      </w:hyperlink>
      <w:r w:rsidRPr="00FF3066">
        <w:rPr>
          <w:rFonts w:ascii="Times New Roman" w:eastAsia="Times New Roman" w:hAnsi="Times New Roman" w:cs="Times New Roman"/>
          <w:sz w:val="24"/>
          <w:szCs w:val="24"/>
        </w:rPr>
        <w:t xml:space="preserve">, includes the same formulation. </w:t>
      </w:r>
      <w:hyperlink r:id="rId79" w:tgtFrame="_top" w:history="1">
        <w:r w:rsidRPr="00FF3066">
          <w:rPr>
            <w:rFonts w:ascii="Times New Roman" w:eastAsia="Times New Roman" w:hAnsi="Times New Roman" w:cs="Times New Roman"/>
            <w:color w:val="0000FF"/>
            <w:sz w:val="24"/>
            <w:szCs w:val="24"/>
            <w:u w:val="single"/>
          </w:rPr>
          <w:t>Section 36B(a)</w:t>
        </w:r>
      </w:hyperlink>
      <w:r w:rsidRPr="00FF3066">
        <w:rPr>
          <w:rFonts w:ascii="Times New Roman" w:eastAsia="Times New Roman" w:hAnsi="Times New Roman" w:cs="Times New Roman"/>
          <w:sz w:val="24"/>
          <w:szCs w:val="24"/>
        </w:rPr>
        <w:t xml:space="preserve"> provides that a tax credit “shall be allowed” for any “applicable taxpayer,” a term defined by income level and without regard to the taxpayer's </w:t>
      </w:r>
      <w:r w:rsidRPr="00FF3066">
        <w:rPr>
          <w:rFonts w:ascii="Times New Roman" w:eastAsia="Times New Roman" w:hAnsi="Times New Roman" w:cs="Times New Roman"/>
          <w:sz w:val="24"/>
          <w:szCs w:val="24"/>
        </w:rPr>
        <w:lastRenderedPageBreak/>
        <w:t xml:space="preserve">State of residence. See </w:t>
      </w:r>
      <w:hyperlink r:id="rId80" w:tgtFrame="_top" w:history="1">
        <w:r w:rsidRPr="00FF3066">
          <w:rPr>
            <w:rFonts w:ascii="Times New Roman" w:eastAsia="Times New Roman" w:hAnsi="Times New Roman" w:cs="Times New Roman"/>
            <w:color w:val="0000FF"/>
            <w:sz w:val="24"/>
            <w:szCs w:val="24"/>
            <w:u w:val="single"/>
          </w:rPr>
          <w:t>26 U.S.C. 36B(c</w:t>
        </w:r>
        <w:proofErr w:type="gramStart"/>
        <w:r w:rsidRPr="00FF3066">
          <w:rPr>
            <w:rFonts w:ascii="Times New Roman" w:eastAsia="Times New Roman" w:hAnsi="Times New Roman" w:cs="Times New Roman"/>
            <w:color w:val="0000FF"/>
            <w:sz w:val="24"/>
            <w:szCs w:val="24"/>
            <w:u w:val="single"/>
          </w:rPr>
          <w:t>)(</w:t>
        </w:r>
        <w:proofErr w:type="gramEnd"/>
        <w:r w:rsidRPr="00FF3066">
          <w:rPr>
            <w:rFonts w:ascii="Times New Roman" w:eastAsia="Times New Roman" w:hAnsi="Times New Roman" w:cs="Times New Roman"/>
            <w:color w:val="0000FF"/>
            <w:sz w:val="24"/>
            <w:szCs w:val="24"/>
            <w:u w:val="single"/>
          </w:rPr>
          <w:t>1)(A)</w:t>
        </w:r>
      </w:hyperlink>
      <w:r w:rsidRPr="00FF3066">
        <w:rPr>
          <w:rFonts w:ascii="Times New Roman" w:eastAsia="Times New Roman" w:hAnsi="Times New Roman" w:cs="Times New Roman"/>
          <w:sz w:val="24"/>
          <w:szCs w:val="24"/>
        </w:rPr>
        <w:t xml:space="preserve">. </w:t>
      </w:r>
      <w:hyperlink r:id="rId81" w:tgtFrame="_top" w:history="1">
        <w:r w:rsidRPr="00FF3066">
          <w:rPr>
            <w:rFonts w:ascii="Times New Roman" w:eastAsia="Times New Roman" w:hAnsi="Times New Roman" w:cs="Times New Roman"/>
            <w:color w:val="0000FF"/>
            <w:sz w:val="24"/>
            <w:szCs w:val="24"/>
            <w:u w:val="single"/>
          </w:rPr>
          <w:t>Section 36B(b)</w:t>
        </w:r>
      </w:hyperlink>
      <w:r w:rsidRPr="00FF3066">
        <w:rPr>
          <w:rFonts w:ascii="Times New Roman" w:eastAsia="Times New Roman" w:hAnsi="Times New Roman" w:cs="Times New Roman"/>
          <w:sz w:val="24"/>
          <w:szCs w:val="24"/>
        </w:rPr>
        <w:t xml:space="preserve"> then provides that the amount of the credit available to a particular taxpayer is based in part on the premium the taxpayer paid for an insurance plan “offered in the individual market within a State” that was “enrolled in through </w:t>
      </w:r>
      <w:bookmarkStart w:id="23" w:name="sp_808_4"/>
      <w:bookmarkStart w:id="24" w:name="SDU_4"/>
      <w:bookmarkEnd w:id="23"/>
      <w:bookmarkEnd w:id="24"/>
      <w:r w:rsidRPr="00FF3066">
        <w:rPr>
          <w:rFonts w:ascii="Times New Roman" w:eastAsia="Times New Roman" w:hAnsi="Times New Roman" w:cs="Times New Roman"/>
          <w:sz w:val="24"/>
          <w:szCs w:val="24"/>
        </w:rPr>
        <w:t>*4 an Exchange established by the State under [</w:t>
      </w:r>
      <w:hyperlink r:id="rId82" w:tgtFrame="_top" w:history="1">
        <w:r w:rsidRPr="00FF3066">
          <w:rPr>
            <w:rFonts w:ascii="Times New Roman" w:eastAsia="Times New Roman" w:hAnsi="Times New Roman" w:cs="Times New Roman"/>
            <w:color w:val="0000FF"/>
            <w:sz w:val="24"/>
            <w:szCs w:val="24"/>
            <w:u w:val="single"/>
          </w:rPr>
          <w:t>42 U.S.C. 18031</w:t>
        </w:r>
      </w:hyperlink>
      <w:r w:rsidRPr="00FF3066">
        <w:rPr>
          <w:rFonts w:ascii="Times New Roman" w:eastAsia="Times New Roman" w:hAnsi="Times New Roman" w:cs="Times New Roman"/>
          <w:sz w:val="24"/>
          <w:szCs w:val="24"/>
        </w:rPr>
        <w:t xml:space="preserve">].” </w:t>
      </w:r>
      <w:hyperlink r:id="rId83" w:tgtFrame="_top" w:history="1">
        <w:r w:rsidRPr="00FF3066">
          <w:rPr>
            <w:rFonts w:ascii="Times New Roman" w:eastAsia="Times New Roman" w:hAnsi="Times New Roman" w:cs="Times New Roman"/>
            <w:color w:val="0000FF"/>
            <w:sz w:val="24"/>
            <w:szCs w:val="24"/>
            <w:u w:val="single"/>
          </w:rPr>
          <w:t>26 U.S.C. 36B(b)(2)(A)</w:t>
        </w:r>
      </w:hyperlink>
      <w:r w:rsidRPr="00FF3066">
        <w:rPr>
          <w:rFonts w:ascii="Times New Roman" w:eastAsia="Times New Roman" w:hAnsi="Times New Roman" w:cs="Times New Roman"/>
          <w:sz w:val="24"/>
          <w:szCs w:val="24"/>
        </w:rPr>
        <w:t>.</w:t>
      </w:r>
      <w:r w:rsidRPr="00FF3066">
        <w:rPr>
          <w:rFonts w:ascii="Times New Roman" w:eastAsia="Times New Roman" w:hAnsi="Times New Roman" w:cs="Times New Roman"/>
          <w:sz w:val="24"/>
          <w:szCs w:val="24"/>
          <w:vertAlign w:val="superscript"/>
        </w:rPr>
        <w:t>[FN2]</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FN2. Another subparagraph of </w:t>
      </w:r>
      <w:hyperlink r:id="rId84"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cross-references this provision and uses a similar formulation in defining a “coverage month” for which a credit is available. </w:t>
      </w:r>
      <w:hyperlink r:id="rId85" w:tgtFrame="_top" w:history="1">
        <w:r w:rsidRPr="00FF3066">
          <w:rPr>
            <w:rFonts w:ascii="Times New Roman" w:eastAsia="Times New Roman" w:hAnsi="Times New Roman" w:cs="Times New Roman"/>
            <w:color w:val="0000FF"/>
            <w:sz w:val="24"/>
            <w:szCs w:val="24"/>
            <w:u w:val="single"/>
          </w:rPr>
          <w:t>26 U.S.C. 36B(c</w:t>
        </w:r>
        <w:proofErr w:type="gramStart"/>
        <w:r w:rsidRPr="00FF3066">
          <w:rPr>
            <w:rFonts w:ascii="Times New Roman" w:eastAsia="Times New Roman" w:hAnsi="Times New Roman" w:cs="Times New Roman"/>
            <w:color w:val="0000FF"/>
            <w:sz w:val="24"/>
            <w:szCs w:val="24"/>
            <w:u w:val="single"/>
          </w:rPr>
          <w:t>)(</w:t>
        </w:r>
        <w:proofErr w:type="gramEnd"/>
        <w:r w:rsidRPr="00FF3066">
          <w:rPr>
            <w:rFonts w:ascii="Times New Roman" w:eastAsia="Times New Roman" w:hAnsi="Times New Roman" w:cs="Times New Roman"/>
            <w:color w:val="0000FF"/>
            <w:sz w:val="24"/>
            <w:szCs w:val="24"/>
            <w:u w:val="single"/>
          </w:rPr>
          <w:t>2)(A)(</w:t>
        </w:r>
        <w:proofErr w:type="spellStart"/>
        <w:r w:rsidRPr="00FF3066">
          <w:rPr>
            <w:rFonts w:ascii="Times New Roman" w:eastAsia="Times New Roman" w:hAnsi="Times New Roman" w:cs="Times New Roman"/>
            <w:color w:val="0000FF"/>
            <w:sz w:val="24"/>
            <w:szCs w:val="24"/>
            <w:u w:val="single"/>
          </w:rPr>
          <w:t>i</w:t>
        </w:r>
        <w:proofErr w:type="spellEnd"/>
        <w:r w:rsidRPr="00FF3066">
          <w:rPr>
            <w:rFonts w:ascii="Times New Roman" w:eastAsia="Times New Roman" w:hAnsi="Times New Roman" w:cs="Times New Roman"/>
            <w:color w:val="0000FF"/>
            <w:sz w:val="24"/>
            <w:szCs w:val="24"/>
            <w:u w:val="single"/>
          </w:rPr>
          <w:t>)</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Through notice-and-comment rulemaking, the Departments of HHS and the Treasury concluded that an Exchange established by HHS for a particular State is an “Exchange established by the State” within the meaning of the Act. See </w:t>
      </w:r>
      <w:hyperlink r:id="rId86" w:tgtFrame="_top" w:history="1">
        <w:r w:rsidRPr="00FF3066">
          <w:rPr>
            <w:rFonts w:ascii="Times New Roman" w:eastAsia="Times New Roman" w:hAnsi="Times New Roman" w:cs="Times New Roman"/>
            <w:color w:val="0000FF"/>
            <w:sz w:val="24"/>
            <w:szCs w:val="24"/>
            <w:u w:val="single"/>
          </w:rPr>
          <w:t>45 C.F.R. 155.20 (HHS)</w:t>
        </w:r>
      </w:hyperlink>
      <w:r w:rsidRPr="00FF3066">
        <w:rPr>
          <w:rFonts w:ascii="Times New Roman" w:eastAsia="Times New Roman" w:hAnsi="Times New Roman" w:cs="Times New Roman"/>
          <w:sz w:val="24"/>
          <w:szCs w:val="24"/>
        </w:rPr>
        <w:t xml:space="preserve">; </w:t>
      </w:r>
      <w:hyperlink r:id="rId87" w:tgtFrame="_top" w:history="1">
        <w:r w:rsidRPr="00FF3066">
          <w:rPr>
            <w:rFonts w:ascii="Times New Roman" w:eastAsia="Times New Roman" w:hAnsi="Times New Roman" w:cs="Times New Roman"/>
            <w:color w:val="0000FF"/>
            <w:sz w:val="24"/>
            <w:szCs w:val="24"/>
            <w:u w:val="single"/>
          </w:rPr>
          <w:t>26 C.F.R. 1.36B-1(k)</w:t>
        </w:r>
      </w:hyperlink>
      <w:r w:rsidRPr="00FF3066">
        <w:rPr>
          <w:rFonts w:ascii="Times New Roman" w:eastAsia="Times New Roman" w:hAnsi="Times New Roman" w:cs="Times New Roman"/>
          <w:sz w:val="24"/>
          <w:szCs w:val="24"/>
        </w:rPr>
        <w:t xml:space="preserve"> (Treasury). The Departments have applied that interpretation to all of the provisions of the Act using that phrase or an equivalent formulation, including </w:t>
      </w:r>
      <w:hyperlink r:id="rId88"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The Treasury regulation implementing </w:t>
      </w:r>
      <w:hyperlink r:id="rId89"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thus provides that the Act's tax credits are available to all eligible individuals who purchase insurance on an Exchange - both in States that establish Exchanges for themselves and in States that opt to allow HHS to establish Exchanges in their stead. 26 C.F.R. 1. </w:t>
      </w:r>
      <w:proofErr w:type="gramStart"/>
      <w:r w:rsidRPr="00FF3066">
        <w:rPr>
          <w:rFonts w:ascii="Times New Roman" w:eastAsia="Times New Roman" w:hAnsi="Times New Roman" w:cs="Times New Roman"/>
          <w:sz w:val="24"/>
          <w:szCs w:val="24"/>
        </w:rPr>
        <w:t>36B1(</w:t>
      </w:r>
      <w:proofErr w:type="gramEnd"/>
      <w:r w:rsidRPr="00FF3066">
        <w:rPr>
          <w:rFonts w:ascii="Times New Roman" w:eastAsia="Times New Roman" w:hAnsi="Times New Roman" w:cs="Times New Roman"/>
          <w:sz w:val="24"/>
          <w:szCs w:val="24"/>
        </w:rPr>
        <w:t xml:space="preserve">k); see </w:t>
      </w:r>
      <w:hyperlink r:id="rId90" w:tgtFrame="_top" w:history="1">
        <w:r w:rsidRPr="00FF3066">
          <w:rPr>
            <w:rFonts w:ascii="Times New Roman" w:eastAsia="Times New Roman" w:hAnsi="Times New Roman" w:cs="Times New Roman"/>
            <w:color w:val="0000FF"/>
            <w:sz w:val="24"/>
            <w:szCs w:val="24"/>
            <w:u w:val="single"/>
          </w:rPr>
          <w:t>77 Fed. Reg. 30,377 (May 23, 2012)</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In 2014, more than 5 million Americans selected insurance coverage through one of the 34 federally-facilitated Exchanges. HHS, </w:t>
      </w:r>
      <w:r w:rsidRPr="00FF3066">
        <w:rPr>
          <w:rFonts w:ascii="Times New Roman" w:eastAsia="Times New Roman" w:hAnsi="Times New Roman" w:cs="Times New Roman"/>
          <w:i/>
          <w:iCs/>
          <w:sz w:val="24"/>
          <w:szCs w:val="24"/>
        </w:rPr>
        <w:t>Health Insurance Marketplace: Summary Enrollment Report for the Initial Annual Open Enrollment Period</w:t>
      </w:r>
      <w:r w:rsidRPr="00FF3066">
        <w:rPr>
          <w:rFonts w:ascii="Times New Roman" w:eastAsia="Times New Roman" w:hAnsi="Times New Roman" w:cs="Times New Roman"/>
          <w:sz w:val="24"/>
          <w:szCs w:val="24"/>
        </w:rPr>
        <w:t xml:space="preserve"> 34 (May 1, 2014). The vast majority of those people are relying on tax credits, which cover the lion's share of insurance premiums for most recipients. Amy Burke et al., </w:t>
      </w:r>
      <w:r w:rsidRPr="00FF3066">
        <w:rPr>
          <w:rFonts w:ascii="Times New Roman" w:eastAsia="Times New Roman" w:hAnsi="Times New Roman" w:cs="Times New Roman"/>
          <w:i/>
          <w:iCs/>
          <w:sz w:val="24"/>
          <w:szCs w:val="24"/>
        </w:rPr>
        <w:t>ASPE Research Brief: Premium Affordability, Competition, and Choice in the Health Insurance Marketplace, 2014,</w:t>
      </w:r>
      <w:r w:rsidRPr="00FF3066">
        <w:rPr>
          <w:rFonts w:ascii="Times New Roman" w:eastAsia="Times New Roman" w:hAnsi="Times New Roman" w:cs="Times New Roman"/>
          <w:sz w:val="24"/>
          <w:szCs w:val="24"/>
        </w:rPr>
        <w:t xml:space="preserve"> at 5 (June 18, 2014).</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2. In this suit, petitioner the State of Oklahoma seeks to deny the Affordable Care Act's federal tax </w:t>
      </w:r>
      <w:bookmarkStart w:id="25" w:name="sp_808_5"/>
      <w:bookmarkStart w:id="26" w:name="SDU_5"/>
      <w:bookmarkEnd w:id="25"/>
      <w:bookmarkEnd w:id="26"/>
      <w:r w:rsidRPr="00FF3066">
        <w:rPr>
          <w:rFonts w:ascii="Times New Roman" w:eastAsia="Times New Roman" w:hAnsi="Times New Roman" w:cs="Times New Roman"/>
          <w:sz w:val="24"/>
          <w:szCs w:val="24"/>
        </w:rPr>
        <w:t xml:space="preserve">*5 credits to its own residents - and to the residents of the other 33 States with federally-facilitated Exchanges. Petitioner contends that the phrase “Exchange established by the State” unambiguously includes only an Exchange that a State establishes for itself, and thus that the formula in </w:t>
      </w:r>
      <w:hyperlink r:id="rId91"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provides that the amount of the tax credit available to an individual who purchases insurance on a federally-facilitated Exchange is always zero.</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a. The district court denied the government's motion to dismiss.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1a-31a. The court first held that petitioner had standing to challenge the availability of tax credits in its capacity as an employer. </w:t>
      </w:r>
      <w:r w:rsidRPr="00FF3066">
        <w:rPr>
          <w:rFonts w:ascii="Times New Roman" w:eastAsia="Times New Roman" w:hAnsi="Times New Roman" w:cs="Times New Roman"/>
          <w:i/>
          <w:iCs/>
          <w:sz w:val="24"/>
          <w:szCs w:val="24"/>
        </w:rPr>
        <w:t>Id.</w:t>
      </w:r>
      <w:r w:rsidRPr="00FF3066">
        <w:rPr>
          <w:rFonts w:ascii="Times New Roman" w:eastAsia="Times New Roman" w:hAnsi="Times New Roman" w:cs="Times New Roman"/>
          <w:sz w:val="24"/>
          <w:szCs w:val="24"/>
        </w:rPr>
        <w:t xml:space="preserve"> at 19a-22a. The Affordable Care Act imposes a tax on an employer with 50 or more full-time employees if (1) the employer fails to offer its full-time employees adequate health coverage, and (2) one or more of those employees receives a tax credit under </w:t>
      </w:r>
      <w:hyperlink r:id="rId92"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w:t>
      </w:r>
      <w:hyperlink r:id="rId93" w:tgtFrame="_top" w:history="1">
        <w:r w:rsidRPr="00FF3066">
          <w:rPr>
            <w:rFonts w:ascii="Times New Roman" w:eastAsia="Times New Roman" w:hAnsi="Times New Roman" w:cs="Times New Roman"/>
            <w:color w:val="0000FF"/>
            <w:sz w:val="24"/>
            <w:szCs w:val="24"/>
            <w:u w:val="single"/>
          </w:rPr>
          <w:t>26 U.S.C. 4980H</w:t>
        </w:r>
      </w:hyperlink>
      <w:r w:rsidRPr="00FF3066">
        <w:rPr>
          <w:rFonts w:ascii="Times New Roman" w:eastAsia="Times New Roman" w:hAnsi="Times New Roman" w:cs="Times New Roman"/>
          <w:sz w:val="24"/>
          <w:szCs w:val="24"/>
        </w:rPr>
        <w:t xml:space="preserve">. The court noted that petitioner had failed to allege facts establishing that it would be liable for the </w:t>
      </w:r>
      <w:hyperlink r:id="rId94"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tax or otherwise to describe its injury with any specificity.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21a. The court held, however, that petitioner's general allegations that the availability of tax credits would require it to bear unspecified costs in connection with </w:t>
      </w:r>
      <w:hyperlink r:id="rId95"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were sufficient to survive a motion to dismiss under what the court termed “extremely lenient pleading standards.” </w:t>
      </w:r>
      <w:hyperlink r:id="rId96" w:tgtFrame="_top" w:history="1">
        <w:r w:rsidRPr="00FF3066">
          <w:rPr>
            <w:rFonts w:ascii="Times New Roman" w:eastAsia="Times New Roman" w:hAnsi="Times New Roman" w:cs="Times New Roman"/>
            <w:i/>
            <w:iCs/>
            <w:color w:val="0000FF"/>
            <w:sz w:val="24"/>
            <w:szCs w:val="24"/>
            <w:u w:val="single"/>
          </w:rPr>
          <w:t>Ibid.</w:t>
        </w:r>
      </w:hyperlink>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lastRenderedPageBreak/>
        <w:t xml:space="preserve">The district court also held that petitioner's claim was not barred by the Anti-Injunction Act (AIA), </w:t>
      </w:r>
      <w:hyperlink r:id="rId97" w:tgtFrame="_top" w:history="1">
        <w:r w:rsidRPr="00FF3066">
          <w:rPr>
            <w:rFonts w:ascii="Times New Roman" w:eastAsia="Times New Roman" w:hAnsi="Times New Roman" w:cs="Times New Roman"/>
            <w:color w:val="0000FF"/>
            <w:sz w:val="24"/>
            <w:szCs w:val="24"/>
            <w:u w:val="single"/>
          </w:rPr>
          <w:t>26 U.S.C. 7421(a)</w:t>
        </w:r>
      </w:hyperlink>
      <w:r w:rsidRPr="00FF3066">
        <w:rPr>
          <w:rFonts w:ascii="Times New Roman" w:eastAsia="Times New Roman" w:hAnsi="Times New Roman" w:cs="Times New Roman"/>
          <w:sz w:val="24"/>
          <w:szCs w:val="24"/>
        </w:rPr>
        <w:t xml:space="preserve">.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24a-30a. The AIA provides that “no suit for the purpose of restraining the assessment or collection of any tax shall be maintained in any court by any person.” </w:t>
      </w:r>
      <w:hyperlink r:id="rId98" w:tgtFrame="_top" w:history="1">
        <w:r w:rsidRPr="00FF3066">
          <w:rPr>
            <w:rFonts w:ascii="Times New Roman" w:eastAsia="Times New Roman" w:hAnsi="Times New Roman" w:cs="Times New Roman"/>
            <w:color w:val="0000FF"/>
            <w:sz w:val="24"/>
            <w:szCs w:val="24"/>
            <w:u w:val="single"/>
          </w:rPr>
          <w:t>26 U.S.C. 7421(a)</w:t>
        </w:r>
      </w:hyperlink>
      <w:r w:rsidRPr="00FF3066">
        <w:rPr>
          <w:rFonts w:ascii="Times New Roman" w:eastAsia="Times New Roman" w:hAnsi="Times New Roman" w:cs="Times New Roman"/>
          <w:sz w:val="24"/>
          <w:szCs w:val="24"/>
        </w:rPr>
        <w:t xml:space="preserve">. The court acknowledged that petitioner's suit seeks to </w:t>
      </w:r>
      <w:bookmarkStart w:id="27" w:name="sp_808_6"/>
      <w:bookmarkStart w:id="28" w:name="SDU_6"/>
      <w:bookmarkEnd w:id="27"/>
      <w:bookmarkEnd w:id="28"/>
      <w:r w:rsidRPr="00FF3066">
        <w:rPr>
          <w:rFonts w:ascii="Times New Roman" w:eastAsia="Times New Roman" w:hAnsi="Times New Roman" w:cs="Times New Roman"/>
          <w:sz w:val="24"/>
          <w:szCs w:val="24"/>
        </w:rPr>
        <w:t xml:space="preserve">*6 restrain the collection of the exaction imposed under </w:t>
      </w:r>
      <w:hyperlink r:id="rId99"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25a. But the court adopted the reasoning of </w:t>
      </w:r>
      <w:hyperlink r:id="rId100" w:tgtFrame="_top" w:history="1">
        <w:r w:rsidRPr="00FF3066">
          <w:rPr>
            <w:rFonts w:ascii="Times New Roman" w:eastAsia="Times New Roman" w:hAnsi="Times New Roman" w:cs="Times New Roman"/>
            <w:i/>
            <w:iCs/>
            <w:color w:val="0000FF"/>
            <w:sz w:val="24"/>
            <w:szCs w:val="24"/>
            <w:u w:val="single"/>
          </w:rPr>
          <w:t>Liberty University, Inc. v. Lew,</w:t>
        </w:r>
        <w:r w:rsidRPr="00FF3066">
          <w:rPr>
            <w:rFonts w:ascii="Times New Roman" w:eastAsia="Times New Roman" w:hAnsi="Times New Roman" w:cs="Times New Roman"/>
            <w:color w:val="0000FF"/>
            <w:sz w:val="24"/>
            <w:szCs w:val="24"/>
            <w:u w:val="single"/>
          </w:rPr>
          <w:t xml:space="preserve"> 733 F.3d 72, 86-89 (4th Cir.)</w:t>
        </w:r>
      </w:hyperlink>
      <w:r w:rsidRPr="00FF3066">
        <w:rPr>
          <w:rFonts w:ascii="Times New Roman" w:eastAsia="Times New Roman" w:hAnsi="Times New Roman" w:cs="Times New Roman"/>
          <w:sz w:val="24"/>
          <w:szCs w:val="24"/>
        </w:rPr>
        <w:t xml:space="preserve">, cert. denied, </w:t>
      </w:r>
      <w:hyperlink r:id="rId101" w:tgtFrame="_top" w:history="1">
        <w:r w:rsidRPr="00FF3066">
          <w:rPr>
            <w:rFonts w:ascii="Times New Roman" w:eastAsia="Times New Roman" w:hAnsi="Times New Roman" w:cs="Times New Roman"/>
            <w:color w:val="0000FF"/>
            <w:sz w:val="24"/>
            <w:szCs w:val="24"/>
            <w:u w:val="single"/>
          </w:rPr>
          <w:t>134 S. Ct. 683 (2013)</w:t>
        </w:r>
      </w:hyperlink>
      <w:r w:rsidRPr="00FF3066">
        <w:rPr>
          <w:rFonts w:ascii="Times New Roman" w:eastAsia="Times New Roman" w:hAnsi="Times New Roman" w:cs="Times New Roman"/>
          <w:sz w:val="24"/>
          <w:szCs w:val="24"/>
        </w:rPr>
        <w:t xml:space="preserve">, which held that the payment required by </w:t>
      </w:r>
      <w:hyperlink r:id="rId102"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is not subject to the AIA even though </w:t>
      </w:r>
      <w:hyperlink r:id="rId103"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refers to that payment as a “tax.”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25a.</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b. The district court later granted petitioner's motion for summary judgment. Pet. App. 1-25. The court first rejected the government's renewed challenge to petitioner's standing. </w:t>
      </w:r>
      <w:r w:rsidRPr="00FF3066">
        <w:rPr>
          <w:rFonts w:ascii="Times New Roman" w:eastAsia="Times New Roman" w:hAnsi="Times New Roman" w:cs="Times New Roman"/>
          <w:i/>
          <w:iCs/>
          <w:sz w:val="24"/>
          <w:szCs w:val="24"/>
        </w:rPr>
        <w:t>Id.</w:t>
      </w:r>
      <w:r w:rsidRPr="00FF3066">
        <w:rPr>
          <w:rFonts w:ascii="Times New Roman" w:eastAsia="Times New Roman" w:hAnsi="Times New Roman" w:cs="Times New Roman"/>
          <w:sz w:val="24"/>
          <w:szCs w:val="24"/>
        </w:rPr>
        <w:t xml:space="preserve"> at 4-10. The government argued that petitioner offered adequate health insurance to its full-time employees and thus faced no risk of liability under </w:t>
      </w:r>
      <w:hyperlink r:id="rId104"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even if tax credits remained available to Oklahoma residents. </w:t>
      </w:r>
      <w:r w:rsidRPr="00FF3066">
        <w:rPr>
          <w:rFonts w:ascii="Times New Roman" w:eastAsia="Times New Roman" w:hAnsi="Times New Roman" w:cs="Times New Roman"/>
          <w:i/>
          <w:iCs/>
          <w:sz w:val="24"/>
          <w:szCs w:val="24"/>
        </w:rPr>
        <w:t>Id.</w:t>
      </w:r>
      <w:r w:rsidRPr="00FF3066">
        <w:rPr>
          <w:rFonts w:ascii="Times New Roman" w:eastAsia="Times New Roman" w:hAnsi="Times New Roman" w:cs="Times New Roman"/>
          <w:sz w:val="24"/>
          <w:szCs w:val="24"/>
        </w:rPr>
        <w:t xml:space="preserve"> at 7. Petitioner, in contrast, asserted that it might be deemed to have failed to offer health coverage to certain narrow categories of full-time employees. </w:t>
      </w:r>
      <w:r w:rsidRPr="00FF3066">
        <w:rPr>
          <w:rFonts w:ascii="Times New Roman" w:eastAsia="Times New Roman" w:hAnsi="Times New Roman" w:cs="Times New Roman"/>
          <w:i/>
          <w:iCs/>
          <w:sz w:val="24"/>
          <w:szCs w:val="24"/>
        </w:rPr>
        <w:t>Ibid.</w:t>
      </w:r>
      <w:r w:rsidRPr="00FF3066">
        <w:rPr>
          <w:rFonts w:ascii="Times New Roman" w:eastAsia="Times New Roman" w:hAnsi="Times New Roman" w:cs="Times New Roman"/>
          <w:sz w:val="24"/>
          <w:szCs w:val="24"/>
        </w:rPr>
        <w:t xml:space="preserve"> The court declined to resolve that dispute, concluding that doing so would “likely require an evidentiary hearing.” </w:t>
      </w:r>
      <w:r w:rsidRPr="00FF3066">
        <w:rPr>
          <w:rFonts w:ascii="Times New Roman" w:eastAsia="Times New Roman" w:hAnsi="Times New Roman" w:cs="Times New Roman"/>
          <w:i/>
          <w:iCs/>
          <w:sz w:val="24"/>
          <w:szCs w:val="24"/>
        </w:rPr>
        <w:t>Id.</w:t>
      </w:r>
      <w:r w:rsidRPr="00FF3066">
        <w:rPr>
          <w:rFonts w:ascii="Times New Roman" w:eastAsia="Times New Roman" w:hAnsi="Times New Roman" w:cs="Times New Roman"/>
          <w:sz w:val="24"/>
          <w:szCs w:val="24"/>
        </w:rPr>
        <w:t xml:space="preserve"> at 8-9. Instead, the court held that petitioner had established standing because it would incur administrative costs associated with </w:t>
      </w:r>
      <w:hyperlink r:id="rId105"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even if it were not ultimately liable for any taxes under that provision. </w:t>
      </w:r>
      <w:r w:rsidRPr="00FF3066">
        <w:rPr>
          <w:rFonts w:ascii="Times New Roman" w:eastAsia="Times New Roman" w:hAnsi="Times New Roman" w:cs="Times New Roman"/>
          <w:i/>
          <w:iCs/>
          <w:sz w:val="24"/>
          <w:szCs w:val="24"/>
        </w:rPr>
        <w:t>Id.</w:t>
      </w:r>
      <w:r w:rsidRPr="00FF3066">
        <w:rPr>
          <w:rFonts w:ascii="Times New Roman" w:eastAsia="Times New Roman" w:hAnsi="Times New Roman" w:cs="Times New Roman"/>
          <w:sz w:val="24"/>
          <w:szCs w:val="24"/>
        </w:rPr>
        <w:t xml:space="preserve"> at 9-10.</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On the merits, the district court held that the Affordable Care Act unambiguously precludes Treasury from providing federal tax credits to residents of States with federally-facilitated Exchanges. Pet. App. 12-25. The court noted that two courts of appeals had addressed the same question, with conflicting results. </w:t>
      </w:r>
      <w:r w:rsidRPr="00FF3066">
        <w:rPr>
          <w:rFonts w:ascii="Times New Roman" w:eastAsia="Times New Roman" w:hAnsi="Times New Roman" w:cs="Times New Roman"/>
          <w:i/>
          <w:iCs/>
          <w:sz w:val="24"/>
          <w:szCs w:val="24"/>
        </w:rPr>
        <w:t>Id.</w:t>
      </w:r>
      <w:r w:rsidRPr="00FF3066">
        <w:rPr>
          <w:rFonts w:ascii="Times New Roman" w:eastAsia="Times New Roman" w:hAnsi="Times New Roman" w:cs="Times New Roman"/>
          <w:sz w:val="24"/>
          <w:szCs w:val="24"/>
        </w:rPr>
        <w:t xml:space="preserve"> at 12. A unanimous panel of the Fourth Circuit upheld Treasury's interpretation as a permissible </w:t>
      </w:r>
      <w:bookmarkStart w:id="29" w:name="sp_808_7"/>
      <w:bookmarkStart w:id="30" w:name="SDU_7"/>
      <w:bookmarkEnd w:id="29"/>
      <w:bookmarkEnd w:id="30"/>
      <w:r w:rsidRPr="00FF3066">
        <w:rPr>
          <w:rFonts w:ascii="Times New Roman" w:eastAsia="Times New Roman" w:hAnsi="Times New Roman" w:cs="Times New Roman"/>
          <w:sz w:val="24"/>
          <w:szCs w:val="24"/>
        </w:rPr>
        <w:t xml:space="preserve">*7 reading of the Act entitled to deference. </w:t>
      </w:r>
      <w:hyperlink r:id="rId106" w:tgtFrame="_top" w:history="1">
        <w:r w:rsidRPr="00FF3066">
          <w:rPr>
            <w:rFonts w:ascii="Times New Roman" w:eastAsia="Times New Roman" w:hAnsi="Times New Roman" w:cs="Times New Roman"/>
            <w:i/>
            <w:iCs/>
            <w:color w:val="0000FF"/>
            <w:sz w:val="24"/>
            <w:szCs w:val="24"/>
            <w:u w:val="single"/>
          </w:rPr>
          <w:t>King,</w:t>
        </w:r>
        <w:r w:rsidRPr="00FF3066">
          <w:rPr>
            <w:rFonts w:ascii="Times New Roman" w:eastAsia="Times New Roman" w:hAnsi="Times New Roman" w:cs="Times New Roman"/>
            <w:color w:val="0000FF"/>
            <w:sz w:val="24"/>
            <w:szCs w:val="24"/>
            <w:u w:val="single"/>
          </w:rPr>
          <w:t xml:space="preserve"> 759 F.3d at 375</w:t>
        </w:r>
      </w:hyperlink>
      <w:r w:rsidRPr="00FF3066">
        <w:rPr>
          <w:rFonts w:ascii="Times New Roman" w:eastAsia="Times New Roman" w:hAnsi="Times New Roman" w:cs="Times New Roman"/>
          <w:sz w:val="24"/>
          <w:szCs w:val="24"/>
        </w:rPr>
        <w:t xml:space="preserve">. In contrast, in a judgment later vacated by a grant of rehearing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a divided panel of the D.C. Circuit held that </w:t>
      </w:r>
      <w:hyperlink r:id="rId107" w:tgtFrame="_top" w:history="1">
        <w:r w:rsidRPr="00FF3066">
          <w:rPr>
            <w:rFonts w:ascii="Times New Roman" w:eastAsia="Times New Roman" w:hAnsi="Times New Roman" w:cs="Times New Roman"/>
            <w:color w:val="0000FF"/>
            <w:sz w:val="24"/>
            <w:szCs w:val="24"/>
            <w:u w:val="single"/>
          </w:rPr>
          <w:t>Section 36B</w:t>
        </w:r>
      </w:hyperlink>
      <w:r w:rsidRPr="00FF3066">
        <w:rPr>
          <w:rFonts w:ascii="Times New Roman" w:eastAsia="Times New Roman" w:hAnsi="Times New Roman" w:cs="Times New Roman"/>
          <w:sz w:val="24"/>
          <w:szCs w:val="24"/>
        </w:rPr>
        <w:t xml:space="preserve"> unambiguously restricts tax credits to the residents of States that establish Exchanges for themselves. </w:t>
      </w:r>
      <w:hyperlink r:id="rId108" w:tgtFrame="_top" w:history="1">
        <w:proofErr w:type="spellStart"/>
        <w:r w:rsidRPr="00FF3066">
          <w:rPr>
            <w:rFonts w:ascii="Times New Roman" w:eastAsia="Times New Roman" w:hAnsi="Times New Roman" w:cs="Times New Roman"/>
            <w:i/>
            <w:iCs/>
            <w:color w:val="0000FF"/>
            <w:sz w:val="24"/>
            <w:szCs w:val="24"/>
            <w:u w:val="single"/>
          </w:rPr>
          <w:t>Halbig</w:t>
        </w:r>
        <w:proofErr w:type="spellEnd"/>
        <w:r w:rsidRPr="00FF3066">
          <w:rPr>
            <w:rFonts w:ascii="Times New Roman" w:eastAsia="Times New Roman" w:hAnsi="Times New Roman" w:cs="Times New Roman"/>
            <w:i/>
            <w:iCs/>
            <w:color w:val="0000FF"/>
            <w:sz w:val="24"/>
            <w:szCs w:val="24"/>
            <w:u w:val="single"/>
          </w:rPr>
          <w:t xml:space="preserve"> v. Burwell,</w:t>
        </w:r>
        <w:r w:rsidRPr="00FF3066">
          <w:rPr>
            <w:rFonts w:ascii="Times New Roman" w:eastAsia="Times New Roman" w:hAnsi="Times New Roman" w:cs="Times New Roman"/>
            <w:color w:val="0000FF"/>
            <w:sz w:val="24"/>
            <w:szCs w:val="24"/>
            <w:u w:val="single"/>
          </w:rPr>
          <w:t xml:space="preserve"> 758 F.3d 390, 412 (2014)</w:t>
        </w:r>
      </w:hyperlink>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reh'g</w:t>
      </w:r>
      <w:proofErr w:type="spellEnd"/>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granted, </w:t>
      </w:r>
      <w:hyperlink r:id="rId109" w:tgtFrame="_top" w:history="1">
        <w:r w:rsidRPr="00FF3066">
          <w:rPr>
            <w:rFonts w:ascii="Times New Roman" w:eastAsia="Times New Roman" w:hAnsi="Times New Roman" w:cs="Times New Roman"/>
            <w:color w:val="0000FF"/>
            <w:sz w:val="24"/>
            <w:szCs w:val="24"/>
            <w:u w:val="single"/>
          </w:rPr>
          <w:t>No. 14-5018, 2014 WL 4627181 (Sept. 4, 2014)</w:t>
        </w:r>
      </w:hyperlink>
      <w:r w:rsidRPr="00FF3066">
        <w:rPr>
          <w:rFonts w:ascii="Times New Roman" w:eastAsia="Times New Roman" w:hAnsi="Times New Roman" w:cs="Times New Roman"/>
          <w:sz w:val="24"/>
          <w:szCs w:val="24"/>
        </w:rPr>
        <w:t xml:space="preserve">. The district court in this case adopted the reasoning of the D.C. Circuit panel majority in </w:t>
      </w:r>
      <w:proofErr w:type="spellStart"/>
      <w:r w:rsidRPr="00FF3066">
        <w:rPr>
          <w:rFonts w:ascii="Times New Roman" w:eastAsia="Times New Roman" w:hAnsi="Times New Roman" w:cs="Times New Roman"/>
          <w:i/>
          <w:iCs/>
          <w:sz w:val="24"/>
          <w:szCs w:val="24"/>
        </w:rPr>
        <w:t>Halbig</w:t>
      </w:r>
      <w:proofErr w:type="spellEnd"/>
      <w:r w:rsidRPr="00FF3066">
        <w:rPr>
          <w:rFonts w:ascii="Times New Roman" w:eastAsia="Times New Roman" w:hAnsi="Times New Roman" w:cs="Times New Roman"/>
          <w:i/>
          <w:iCs/>
          <w:sz w:val="24"/>
          <w:szCs w:val="24"/>
        </w:rPr>
        <w:t>,</w:t>
      </w:r>
      <w:r w:rsidRPr="00FF3066">
        <w:rPr>
          <w:rFonts w:ascii="Times New Roman" w:eastAsia="Times New Roman" w:hAnsi="Times New Roman" w:cs="Times New Roman"/>
          <w:sz w:val="24"/>
          <w:szCs w:val="24"/>
        </w:rPr>
        <w:t xml:space="preserve"> but stayed its judgment pending appeal. Pet. App. 25.</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3. The federal government filed a notice of appeal on October 3, 2014. On November 7, this Court granted certiorari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On November 18, petitioner filed a petition for a writ of certiorari before judgment in this case. On November 19, the Tenth Circuit granted the federal government's unopposed motion to hold this case in abeyance pending this Court's decision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11/19/2014 Order 1</w:t>
      </w:r>
      <w:proofErr w:type="gramStart"/>
      <w:r w:rsidRPr="00FF3066">
        <w:rPr>
          <w:rFonts w:ascii="Times New Roman" w:eastAsia="Times New Roman" w:hAnsi="Times New Roman" w:cs="Times New Roman"/>
          <w:sz w:val="24"/>
          <w:szCs w:val="24"/>
        </w:rPr>
        <w:t>.</w:t>
      </w:r>
      <w:r w:rsidRPr="00FF3066">
        <w:rPr>
          <w:rFonts w:ascii="Times New Roman" w:eastAsia="Times New Roman" w:hAnsi="Times New Roman" w:cs="Times New Roman"/>
          <w:sz w:val="24"/>
          <w:szCs w:val="24"/>
          <w:vertAlign w:val="superscript"/>
        </w:rPr>
        <w:t>[</w:t>
      </w:r>
      <w:proofErr w:type="gramEnd"/>
      <w:r w:rsidRPr="00FF3066">
        <w:rPr>
          <w:rFonts w:ascii="Times New Roman" w:eastAsia="Times New Roman" w:hAnsi="Times New Roman" w:cs="Times New Roman"/>
          <w:sz w:val="24"/>
          <w:szCs w:val="24"/>
          <w:vertAlign w:val="superscript"/>
        </w:rPr>
        <w:t>FN3]</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FN3. The D.C. Circuit issued a similar order staying its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proceedings. See </w:t>
      </w:r>
      <w:proofErr w:type="spellStart"/>
      <w:r w:rsidRPr="00FF3066">
        <w:rPr>
          <w:rFonts w:ascii="Times New Roman" w:eastAsia="Times New Roman" w:hAnsi="Times New Roman" w:cs="Times New Roman"/>
          <w:i/>
          <w:iCs/>
          <w:sz w:val="24"/>
          <w:szCs w:val="24"/>
        </w:rPr>
        <w:t>Halbig</w:t>
      </w:r>
      <w:proofErr w:type="spellEnd"/>
      <w:r w:rsidRPr="00FF3066">
        <w:rPr>
          <w:rFonts w:ascii="Times New Roman" w:eastAsia="Times New Roman" w:hAnsi="Times New Roman" w:cs="Times New Roman"/>
          <w:i/>
          <w:iCs/>
          <w:sz w:val="24"/>
          <w:szCs w:val="24"/>
        </w:rPr>
        <w:t>, supra,</w:t>
      </w:r>
      <w:r w:rsidRPr="00FF3066">
        <w:rPr>
          <w:rFonts w:ascii="Times New Roman" w:eastAsia="Times New Roman" w:hAnsi="Times New Roman" w:cs="Times New Roman"/>
          <w:sz w:val="24"/>
          <w:szCs w:val="24"/>
        </w:rPr>
        <w:t xml:space="preserve"> No. 14-5018 (Nov. 12, 2014).</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after="0" w:line="240" w:lineRule="auto"/>
        <w:jc w:val="center"/>
        <w:rPr>
          <w:rFonts w:ascii="Times New Roman" w:eastAsia="Times New Roman" w:hAnsi="Times New Roman" w:cs="Times New Roman"/>
          <w:sz w:val="24"/>
          <w:szCs w:val="24"/>
        </w:rPr>
      </w:pPr>
      <w:r w:rsidRPr="00FF3066">
        <w:rPr>
          <w:rFonts w:ascii="Times New Roman" w:eastAsia="Times New Roman" w:hAnsi="Times New Roman" w:cs="Times New Roman"/>
          <w:caps/>
          <w:sz w:val="24"/>
          <w:szCs w:val="24"/>
        </w:rPr>
        <w:t>ARGUMENT</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lastRenderedPageBreak/>
        <w:t xml:space="preserve">Petitioner contends (Pet. 7-13) that this Court should grant certiorari before judgment and hear this case along with </w:t>
      </w:r>
      <w:r w:rsidRPr="00FF3066">
        <w:rPr>
          <w:rFonts w:ascii="Times New Roman" w:eastAsia="Times New Roman" w:hAnsi="Times New Roman" w:cs="Times New Roman"/>
          <w:i/>
          <w:iCs/>
          <w:sz w:val="24"/>
          <w:szCs w:val="24"/>
        </w:rPr>
        <w:t>King v. Burwell,</w:t>
      </w:r>
      <w:r w:rsidRPr="00FF3066">
        <w:rPr>
          <w:rFonts w:ascii="Times New Roman" w:eastAsia="Times New Roman" w:hAnsi="Times New Roman" w:cs="Times New Roman"/>
          <w:sz w:val="24"/>
          <w:szCs w:val="24"/>
        </w:rPr>
        <w:t xml:space="preserve"> No. 14-114, cert. granted (Nov. 7, 2014). A petition for a writ of certiorari before judgment “will be granted only upon a showing that the case is of such imperative public importance as to justify deviation from normal appellate practice and to require immediate determination in this Court.” Sup. Ct. R. 11. Petitioner has not satisfied that standard. To the contrary, neither of the reasons it proffers for granting the petition demonstrates</w:t>
      </w:r>
      <w:bookmarkStart w:id="31" w:name="sp_808_8"/>
      <w:bookmarkStart w:id="32" w:name="SDU_8"/>
      <w:bookmarkEnd w:id="31"/>
      <w:bookmarkEnd w:id="32"/>
      <w:r w:rsidRPr="00FF3066">
        <w:rPr>
          <w:rFonts w:ascii="Times New Roman" w:eastAsia="Times New Roman" w:hAnsi="Times New Roman" w:cs="Times New Roman"/>
          <w:sz w:val="24"/>
          <w:szCs w:val="24"/>
        </w:rPr>
        <w:t xml:space="preserve"> *8 any advantage in hearing this case along with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 much less the sort of “imperative public importance” required to justify certiorari before judgment. The petition should be denied.</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1. Petitioner first contends (Pet. 7-9) that this Court should grant certiorari before judgment so it can decide the question presented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in a case in which a State is a party. Petitioner notes that the petitioners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are individuals, and it emphasizes that the availability of tax credits under </w:t>
      </w:r>
      <w:hyperlink r:id="rId110" w:tgtFrame="_top" w:history="1">
        <w:r w:rsidRPr="00FF3066">
          <w:rPr>
            <w:rFonts w:ascii="Times New Roman" w:eastAsia="Times New Roman" w:hAnsi="Times New Roman" w:cs="Times New Roman"/>
            <w:color w:val="0000FF"/>
            <w:sz w:val="24"/>
            <w:szCs w:val="24"/>
            <w:u w:val="single"/>
          </w:rPr>
          <w:t>26 U.S.C. 36B</w:t>
        </w:r>
      </w:hyperlink>
      <w:r w:rsidRPr="00FF3066">
        <w:rPr>
          <w:rFonts w:ascii="Times New Roman" w:eastAsia="Times New Roman" w:hAnsi="Times New Roman" w:cs="Times New Roman"/>
          <w:sz w:val="24"/>
          <w:szCs w:val="24"/>
        </w:rPr>
        <w:t xml:space="preserve"> has important implications for States and employers as well. But this Court routinely decides legal questions of importance to non-parties, including States and the United States. Under this Court's rules, the proper procedure for an interested non-party to make its views known is to file an amicus brief, see Sup. Ct. R. 37 - not to deviate from ordinary appellate procedure by seeking certiorari before judgment. Petitioner has already filed a certiorari-stage amicus brief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and it fails to explain why it cannot avail itself of the same procedure to express its views on the merits. See Oklahoma et al. Amicus Br., </w:t>
      </w:r>
      <w:r w:rsidRPr="00FF3066">
        <w:rPr>
          <w:rFonts w:ascii="Times New Roman" w:eastAsia="Times New Roman" w:hAnsi="Times New Roman" w:cs="Times New Roman"/>
          <w:i/>
          <w:iCs/>
          <w:sz w:val="24"/>
          <w:szCs w:val="24"/>
        </w:rPr>
        <w:t>King, supra,</w:t>
      </w:r>
      <w:r w:rsidRPr="00FF3066">
        <w:rPr>
          <w:rFonts w:ascii="Times New Roman" w:eastAsia="Times New Roman" w:hAnsi="Times New Roman" w:cs="Times New Roman"/>
          <w:sz w:val="24"/>
          <w:szCs w:val="24"/>
        </w:rPr>
        <w:t xml:space="preserve"> No. 14-114 (Sept. 3, 2014).</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Petitioner is also quite wrong to assert (Pet. 2) that granting its petition would place before the Court “all categories of parties with an interest in” the question presented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The continued availability of the Affordable Care Act's tax credits is of critical importance to a wide array of other parties, including the millions of individuals whose health coverage depends on credits obtained through federally-facilitated Exchanges; the States that wish to preserve their residents' access to those credits; and the consumers, insurers, hospitals and others that would suffer serious adverse economic consequences if this </w:t>
      </w:r>
      <w:bookmarkStart w:id="33" w:name="sp_808_9"/>
      <w:bookmarkStart w:id="34" w:name="SDU_9"/>
      <w:bookmarkEnd w:id="33"/>
      <w:bookmarkEnd w:id="34"/>
      <w:r w:rsidRPr="00FF3066">
        <w:rPr>
          <w:rFonts w:ascii="Times New Roman" w:eastAsia="Times New Roman" w:hAnsi="Times New Roman" w:cs="Times New Roman"/>
          <w:sz w:val="24"/>
          <w:szCs w:val="24"/>
        </w:rPr>
        <w:t xml:space="preserve">*9 Court adopted petitioner's position. Representatives of all of those parties - and many others - filed amicus briefs supporting the federal government in the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proceedings in the D.C. Circuit and can be expected to do so in this Court as well.</w:t>
      </w:r>
      <w:r w:rsidRPr="00FF3066">
        <w:rPr>
          <w:rFonts w:ascii="Times New Roman" w:eastAsia="Times New Roman" w:hAnsi="Times New Roman" w:cs="Times New Roman"/>
          <w:sz w:val="24"/>
          <w:szCs w:val="24"/>
          <w:vertAlign w:val="superscript"/>
        </w:rPr>
        <w:t>[FN4]</w:t>
      </w:r>
      <w:r w:rsidRPr="00FF3066">
        <w:rPr>
          <w:rFonts w:ascii="Times New Roman" w:eastAsia="Times New Roman" w:hAnsi="Times New Roman" w:cs="Times New Roman"/>
          <w:sz w:val="24"/>
          <w:szCs w:val="24"/>
        </w:rPr>
        <w:t xml:space="preserve"> Petitioner's proposed approach ignores the views of the many interested parties on the other side of the issue - including the 18 States that have argued that petitioner's proffered interpretation of the Affordable Care Act constitutes an affront to federalism and violates the Tenth Amendment.</w:t>
      </w:r>
      <w:r w:rsidRPr="00FF3066">
        <w:rPr>
          <w:rFonts w:ascii="Times New Roman" w:eastAsia="Times New Roman" w:hAnsi="Times New Roman" w:cs="Times New Roman"/>
          <w:sz w:val="24"/>
          <w:szCs w:val="24"/>
          <w:vertAlign w:val="superscript"/>
        </w:rPr>
        <w:t>[FN5]</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FN4. See Gov't Br. at *2-*8, </w:t>
      </w:r>
      <w:hyperlink r:id="rId111" w:tgtFrame="_top" w:history="1">
        <w:proofErr w:type="spellStart"/>
        <w:r w:rsidRPr="00FF3066">
          <w:rPr>
            <w:rFonts w:ascii="Times New Roman" w:eastAsia="Times New Roman" w:hAnsi="Times New Roman" w:cs="Times New Roman"/>
            <w:i/>
            <w:iCs/>
            <w:color w:val="0000FF"/>
            <w:sz w:val="24"/>
            <w:szCs w:val="24"/>
            <w:u w:val="single"/>
          </w:rPr>
          <w:t>Halbig</w:t>
        </w:r>
        <w:proofErr w:type="spellEnd"/>
        <w:r w:rsidRPr="00FF3066">
          <w:rPr>
            <w:rFonts w:ascii="Times New Roman" w:eastAsia="Times New Roman" w:hAnsi="Times New Roman" w:cs="Times New Roman"/>
            <w:i/>
            <w:iCs/>
            <w:color w:val="0000FF"/>
            <w:sz w:val="24"/>
            <w:szCs w:val="24"/>
            <w:u w:val="single"/>
          </w:rPr>
          <w:t xml:space="preserve"> v. Burwell,</w:t>
        </w:r>
        <w:r w:rsidRPr="00FF3066">
          <w:rPr>
            <w:rFonts w:ascii="Times New Roman" w:eastAsia="Times New Roman" w:hAnsi="Times New Roman" w:cs="Times New Roman"/>
            <w:color w:val="0000FF"/>
            <w:sz w:val="24"/>
            <w:szCs w:val="24"/>
            <w:u w:val="single"/>
          </w:rPr>
          <w:t xml:space="preserve"> No. 14-5018, 2014 WL 5585314 (D.C. Cir. Nov. 3, 2014)</w:t>
        </w:r>
      </w:hyperlink>
      <w:r w:rsidRPr="00FF3066">
        <w:rPr>
          <w:rFonts w:ascii="Times New Roman" w:eastAsia="Times New Roman" w:hAnsi="Times New Roman" w:cs="Times New Roman"/>
          <w:sz w:val="24"/>
          <w:szCs w:val="24"/>
        </w:rPr>
        <w:t xml:space="preserve"> (listing amicus briefs filed by, among others, 18 States, America's Health Insurance Plans, the American Hospital Association, the Federation of American Hospitals, the Catholic Health Association of the United States, the Association of American Medical Colleges, AARP, individuals with preexisting conditions, scholars of economics and public health, and Members of Congress and state legislatures).</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FN5. See Virginia et al. Amicus Br., </w:t>
      </w:r>
      <w:hyperlink r:id="rId112" w:tgtFrame="_top" w:history="1">
        <w:proofErr w:type="spellStart"/>
        <w:r w:rsidRPr="00FF3066">
          <w:rPr>
            <w:rFonts w:ascii="Times New Roman" w:eastAsia="Times New Roman" w:hAnsi="Times New Roman" w:cs="Times New Roman"/>
            <w:i/>
            <w:iCs/>
            <w:color w:val="0000FF"/>
            <w:sz w:val="24"/>
            <w:szCs w:val="24"/>
            <w:u w:val="single"/>
          </w:rPr>
          <w:t>Halbig</w:t>
        </w:r>
        <w:proofErr w:type="spellEnd"/>
        <w:r w:rsidRPr="00FF3066">
          <w:rPr>
            <w:rFonts w:ascii="Times New Roman" w:eastAsia="Times New Roman" w:hAnsi="Times New Roman" w:cs="Times New Roman"/>
            <w:i/>
            <w:iCs/>
            <w:color w:val="0000FF"/>
            <w:sz w:val="24"/>
            <w:szCs w:val="24"/>
            <w:u w:val="single"/>
          </w:rPr>
          <w:t xml:space="preserve"> v. Burwell,</w:t>
        </w:r>
        <w:r w:rsidRPr="00FF3066">
          <w:rPr>
            <w:rFonts w:ascii="Times New Roman" w:eastAsia="Times New Roman" w:hAnsi="Times New Roman" w:cs="Times New Roman"/>
            <w:color w:val="0000FF"/>
            <w:sz w:val="24"/>
            <w:szCs w:val="24"/>
            <w:u w:val="single"/>
          </w:rPr>
          <w:t xml:space="preserve"> No. 14-5018, 2014 WL 5585304 (D.C. Cir. Nov. 3, 2014)</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lastRenderedPageBreak/>
        <w:t xml:space="preserve">2. Petitioner also contends (Pet. 10-13) that granting certiorari before judgment would ensure that this Court has jurisdiction to resolve the question presented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in the event that it concludes that the petitioners in that case lack standing. But petitioner acknowledges (Pet. 10) that the government disclaimed any challenge to standing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See Br. in Opp. at 34 n.10, </w:t>
      </w:r>
      <w:r w:rsidRPr="00FF3066">
        <w:rPr>
          <w:rFonts w:ascii="Times New Roman" w:eastAsia="Times New Roman" w:hAnsi="Times New Roman" w:cs="Times New Roman"/>
          <w:i/>
          <w:iCs/>
          <w:sz w:val="24"/>
          <w:szCs w:val="24"/>
        </w:rPr>
        <w:t>King, supra,</w:t>
      </w:r>
      <w:r w:rsidRPr="00FF3066">
        <w:rPr>
          <w:rFonts w:ascii="Times New Roman" w:eastAsia="Times New Roman" w:hAnsi="Times New Roman" w:cs="Times New Roman"/>
          <w:sz w:val="24"/>
          <w:szCs w:val="24"/>
        </w:rPr>
        <w:t xml:space="preserve"> No. 14-114 (Oct. 3, 2014). In granting certiorari, moreover, this Court did not direct the parties to address standing (or any other jurisdictional issue). There is thus no obstacle to reaching the merits in </w:t>
      </w:r>
      <w:r w:rsidRPr="00FF3066">
        <w:rPr>
          <w:rFonts w:ascii="Times New Roman" w:eastAsia="Times New Roman" w:hAnsi="Times New Roman" w:cs="Times New Roman"/>
          <w:i/>
          <w:iCs/>
          <w:sz w:val="24"/>
          <w:szCs w:val="24"/>
        </w:rPr>
        <w:t>King.</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In any event, granting the petition in this case would not solve any jurisdictional problem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w:t>
      </w:r>
      <w:bookmarkStart w:id="35" w:name="sp_808_10"/>
      <w:bookmarkStart w:id="36" w:name="SDU_10"/>
      <w:bookmarkEnd w:id="35"/>
      <w:bookmarkEnd w:id="36"/>
      <w:r w:rsidRPr="00FF3066">
        <w:rPr>
          <w:rFonts w:ascii="Times New Roman" w:eastAsia="Times New Roman" w:hAnsi="Times New Roman" w:cs="Times New Roman"/>
          <w:sz w:val="24"/>
          <w:szCs w:val="24"/>
        </w:rPr>
        <w:t>*10 because petitioner's suit suffers from two fatal jurisdictional defects of its own. First, petitioner failed to demonstrate the prerequisites for Article III standing: a “concrete” injury that is “fairly traceable to the challenged action” and “</w:t>
      </w:r>
      <w:proofErr w:type="spellStart"/>
      <w:r w:rsidRPr="00FF3066">
        <w:rPr>
          <w:rFonts w:ascii="Times New Roman" w:eastAsia="Times New Roman" w:hAnsi="Times New Roman" w:cs="Times New Roman"/>
          <w:sz w:val="24"/>
          <w:szCs w:val="24"/>
        </w:rPr>
        <w:t>redressable</w:t>
      </w:r>
      <w:proofErr w:type="spellEnd"/>
      <w:r w:rsidRPr="00FF3066">
        <w:rPr>
          <w:rFonts w:ascii="Times New Roman" w:eastAsia="Times New Roman" w:hAnsi="Times New Roman" w:cs="Times New Roman"/>
          <w:sz w:val="24"/>
          <w:szCs w:val="24"/>
        </w:rPr>
        <w:t xml:space="preserve"> by a favorable ruling.” </w:t>
      </w:r>
      <w:hyperlink r:id="rId113" w:tgtFrame="_top" w:history="1">
        <w:r w:rsidRPr="00FF3066">
          <w:rPr>
            <w:rFonts w:ascii="Times New Roman" w:eastAsia="Times New Roman" w:hAnsi="Times New Roman" w:cs="Times New Roman"/>
            <w:i/>
            <w:iCs/>
            <w:color w:val="0000FF"/>
            <w:sz w:val="24"/>
            <w:szCs w:val="24"/>
            <w:u w:val="single"/>
          </w:rPr>
          <w:t xml:space="preserve">Monsanto Co. v. </w:t>
        </w:r>
        <w:proofErr w:type="spellStart"/>
        <w:r w:rsidRPr="00FF3066">
          <w:rPr>
            <w:rFonts w:ascii="Times New Roman" w:eastAsia="Times New Roman" w:hAnsi="Times New Roman" w:cs="Times New Roman"/>
            <w:i/>
            <w:iCs/>
            <w:color w:val="0000FF"/>
            <w:sz w:val="24"/>
            <w:szCs w:val="24"/>
            <w:u w:val="single"/>
          </w:rPr>
          <w:t>Geertson</w:t>
        </w:r>
        <w:proofErr w:type="spellEnd"/>
        <w:r w:rsidRPr="00FF3066">
          <w:rPr>
            <w:rFonts w:ascii="Times New Roman" w:eastAsia="Times New Roman" w:hAnsi="Times New Roman" w:cs="Times New Roman"/>
            <w:i/>
            <w:iCs/>
            <w:color w:val="0000FF"/>
            <w:sz w:val="24"/>
            <w:szCs w:val="24"/>
            <w:u w:val="single"/>
          </w:rPr>
          <w:t xml:space="preserve"> Seed Farms,</w:t>
        </w:r>
        <w:r w:rsidRPr="00FF3066">
          <w:rPr>
            <w:rFonts w:ascii="Times New Roman" w:eastAsia="Times New Roman" w:hAnsi="Times New Roman" w:cs="Times New Roman"/>
            <w:color w:val="0000FF"/>
            <w:sz w:val="24"/>
            <w:szCs w:val="24"/>
            <w:u w:val="single"/>
          </w:rPr>
          <w:t xml:space="preserve"> 561 U.S. 139, 149 (2010)</w:t>
        </w:r>
      </w:hyperlink>
      <w:r w:rsidRPr="00FF3066">
        <w:rPr>
          <w:rFonts w:ascii="Times New Roman" w:eastAsia="Times New Roman" w:hAnsi="Times New Roman" w:cs="Times New Roman"/>
          <w:sz w:val="24"/>
          <w:szCs w:val="24"/>
        </w:rPr>
        <w:t xml:space="preserve">. Petitioner contends (Pet. 10-11) that it is injured by the availability of tax credits in Oklahoma because it will be required to pay a tax under </w:t>
      </w:r>
      <w:hyperlink r:id="rId114"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if it fails to offer adequate health coverage to its full-time employees and one or more of those employees obtains a tax credit to purchase health coverage through the Oklahoma Exchange. But the government demonstrated below that petitioner offers its full-time employees health coverage that meets the Act's standards. See 6:11-</w:t>
      </w:r>
      <w:proofErr w:type="gramStart"/>
      <w:r w:rsidRPr="00FF3066">
        <w:rPr>
          <w:rFonts w:ascii="Times New Roman" w:eastAsia="Times New Roman" w:hAnsi="Times New Roman" w:cs="Times New Roman"/>
          <w:sz w:val="24"/>
          <w:szCs w:val="24"/>
        </w:rPr>
        <w:t>cv-</w:t>
      </w:r>
      <w:proofErr w:type="gramEnd"/>
      <w:r w:rsidRPr="00FF3066">
        <w:rPr>
          <w:rFonts w:ascii="Times New Roman" w:eastAsia="Times New Roman" w:hAnsi="Times New Roman" w:cs="Times New Roman"/>
          <w:sz w:val="24"/>
          <w:szCs w:val="24"/>
        </w:rPr>
        <w:t xml:space="preserve">30 Docket entry No. (Docket No.) 99, at 3-6 (May 19, 2014). The district court accordingly declined to rely on a risk of liability under </w:t>
      </w:r>
      <w:hyperlink r:id="rId115"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in finding standing, concluding that it would “likely require an evidentiary hearing” to determine whether any such risk exists. Pet. App. 8. The current record thus does not establish petitioner's standing on this theory.</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Petitioner also contends (Pet. 11) that it has standing because </w:t>
      </w:r>
      <w:hyperlink r:id="rId116"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will require it to incur administrative and compliance costs even if it is not ultimately liable for taxes under that provision. The district court adopted that theory. Pet. App. 9-10. But in the proceedings below, petitioner attributed all of the administrative and compliance costs it identified to a reporting requirement in a different provision of the Act, </w:t>
      </w:r>
      <w:hyperlink r:id="rId117" w:tgtFrame="_top" w:history="1">
        <w:r w:rsidRPr="00FF3066">
          <w:rPr>
            <w:rFonts w:ascii="Times New Roman" w:eastAsia="Times New Roman" w:hAnsi="Times New Roman" w:cs="Times New Roman"/>
            <w:color w:val="0000FF"/>
            <w:sz w:val="24"/>
            <w:szCs w:val="24"/>
            <w:u w:val="single"/>
          </w:rPr>
          <w:t>26 U.S.C. 6056(a)</w:t>
        </w:r>
      </w:hyperlink>
      <w:r w:rsidRPr="00FF3066">
        <w:rPr>
          <w:rFonts w:ascii="Times New Roman" w:eastAsia="Times New Roman" w:hAnsi="Times New Roman" w:cs="Times New Roman"/>
          <w:sz w:val="24"/>
          <w:szCs w:val="24"/>
        </w:rPr>
        <w:t xml:space="preserve">. See Docket No. 87-12, at 12-13 (Feb. 18, 2014); Docket No. 94, at 7-9 (Apr. 22, 2014). As the district court recognized, those reporting requirements would apply to petitioner whether or </w:t>
      </w:r>
      <w:bookmarkStart w:id="37" w:name="sp_808_11"/>
      <w:bookmarkStart w:id="38" w:name="SDU_11"/>
      <w:bookmarkEnd w:id="37"/>
      <w:bookmarkEnd w:id="38"/>
      <w:r w:rsidRPr="00FF3066">
        <w:rPr>
          <w:rFonts w:ascii="Times New Roman" w:eastAsia="Times New Roman" w:hAnsi="Times New Roman" w:cs="Times New Roman"/>
          <w:sz w:val="24"/>
          <w:szCs w:val="24"/>
        </w:rPr>
        <w:t xml:space="preserve">*11 not tax credits were available to Oklahoma residents. Pet. App. 10 n.9; see </w:t>
      </w:r>
      <w:hyperlink r:id="rId118" w:tgtFrame="_top" w:history="1">
        <w:r w:rsidRPr="00FF3066">
          <w:rPr>
            <w:rFonts w:ascii="Times New Roman" w:eastAsia="Times New Roman" w:hAnsi="Times New Roman" w:cs="Times New Roman"/>
            <w:color w:val="0000FF"/>
            <w:sz w:val="24"/>
            <w:szCs w:val="24"/>
            <w:u w:val="single"/>
          </w:rPr>
          <w:t>26 U.S.C. 6056</w:t>
        </w:r>
      </w:hyperlink>
      <w:r w:rsidRPr="00FF3066">
        <w:rPr>
          <w:rFonts w:ascii="Times New Roman" w:eastAsia="Times New Roman" w:hAnsi="Times New Roman" w:cs="Times New Roman"/>
          <w:sz w:val="24"/>
          <w:szCs w:val="24"/>
        </w:rPr>
        <w:t xml:space="preserve">; </w:t>
      </w:r>
      <w:hyperlink r:id="rId119" w:tgtFrame="_top" w:history="1">
        <w:r w:rsidRPr="00FF3066">
          <w:rPr>
            <w:rFonts w:ascii="Times New Roman" w:eastAsia="Times New Roman" w:hAnsi="Times New Roman" w:cs="Times New Roman"/>
            <w:color w:val="0000FF"/>
            <w:sz w:val="24"/>
            <w:szCs w:val="24"/>
            <w:u w:val="single"/>
          </w:rPr>
          <w:t>26 C.F.R. 301.6056-1</w:t>
        </w:r>
      </w:hyperlink>
      <w:r w:rsidRPr="00FF3066">
        <w:rPr>
          <w:rFonts w:ascii="Times New Roman" w:eastAsia="Times New Roman" w:hAnsi="Times New Roman" w:cs="Times New Roman"/>
          <w:sz w:val="24"/>
          <w:szCs w:val="24"/>
        </w:rPr>
        <w:t xml:space="preserve">. Petitioner has thus failed to establish standing because it has not demonstrated that its injury is “fairly traceable” to the availability of tax credits. </w:t>
      </w:r>
      <w:hyperlink r:id="rId120" w:tgtFrame="_top" w:history="1">
        <w:r w:rsidRPr="00FF3066">
          <w:rPr>
            <w:rFonts w:ascii="Times New Roman" w:eastAsia="Times New Roman" w:hAnsi="Times New Roman" w:cs="Times New Roman"/>
            <w:i/>
            <w:iCs/>
            <w:color w:val="0000FF"/>
            <w:sz w:val="24"/>
            <w:szCs w:val="24"/>
            <w:u w:val="single"/>
          </w:rPr>
          <w:t>Monsanto Co.,</w:t>
        </w:r>
        <w:r w:rsidRPr="00FF3066">
          <w:rPr>
            <w:rFonts w:ascii="Times New Roman" w:eastAsia="Times New Roman" w:hAnsi="Times New Roman" w:cs="Times New Roman"/>
            <w:color w:val="0000FF"/>
            <w:sz w:val="24"/>
            <w:szCs w:val="24"/>
            <w:u w:val="single"/>
          </w:rPr>
          <w:t xml:space="preserve"> 561 U.S. at 149</w:t>
        </w:r>
      </w:hyperlink>
      <w:proofErr w:type="gramStart"/>
      <w:r w:rsidRPr="00FF3066">
        <w:rPr>
          <w:rFonts w:ascii="Times New Roman" w:eastAsia="Times New Roman" w:hAnsi="Times New Roman" w:cs="Times New Roman"/>
          <w:sz w:val="24"/>
          <w:szCs w:val="24"/>
        </w:rPr>
        <w:t>.</w:t>
      </w:r>
      <w:r w:rsidRPr="00FF3066">
        <w:rPr>
          <w:rFonts w:ascii="Times New Roman" w:eastAsia="Times New Roman" w:hAnsi="Times New Roman" w:cs="Times New Roman"/>
          <w:sz w:val="24"/>
          <w:szCs w:val="24"/>
          <w:vertAlign w:val="superscript"/>
        </w:rPr>
        <w:t>[</w:t>
      </w:r>
      <w:proofErr w:type="gramEnd"/>
      <w:r w:rsidRPr="00FF3066">
        <w:rPr>
          <w:rFonts w:ascii="Times New Roman" w:eastAsia="Times New Roman" w:hAnsi="Times New Roman" w:cs="Times New Roman"/>
          <w:sz w:val="24"/>
          <w:szCs w:val="24"/>
          <w:vertAlign w:val="superscript"/>
        </w:rPr>
        <w:t>FN6]</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FN6. Petitioner also contends (Pet. 11-12) that it has standing because the provision of tax credits to Oklahoma residents deprives petitioner of its purported prerogative to render those credits unavailable by refusing to establish an Exchange for itself. But as the district court explained in rejecting that argument, a State does not suffer Article III injury merely because it believes the federal government is misapplying federal law to its citizens. App., </w:t>
      </w:r>
      <w:r w:rsidRPr="00FF3066">
        <w:rPr>
          <w:rFonts w:ascii="Times New Roman" w:eastAsia="Times New Roman" w:hAnsi="Times New Roman" w:cs="Times New Roman"/>
          <w:i/>
          <w:iCs/>
          <w:sz w:val="24"/>
          <w:szCs w:val="24"/>
        </w:rPr>
        <w:t>infra,</w:t>
      </w:r>
      <w:r w:rsidRPr="00FF3066">
        <w:rPr>
          <w:rFonts w:ascii="Times New Roman" w:eastAsia="Times New Roman" w:hAnsi="Times New Roman" w:cs="Times New Roman"/>
          <w:sz w:val="24"/>
          <w:szCs w:val="24"/>
        </w:rPr>
        <w:t xml:space="preserve"> 15a-19a. To the contrary, it is well-settled that “it is no part of [a State's] duty or power to enforce [its citizens'] rights in respect of their relations with the Federal Government.” </w:t>
      </w:r>
      <w:hyperlink r:id="rId121" w:tgtFrame="_top" w:history="1">
        <w:r w:rsidRPr="00FF3066">
          <w:rPr>
            <w:rFonts w:ascii="Times New Roman" w:eastAsia="Times New Roman" w:hAnsi="Times New Roman" w:cs="Times New Roman"/>
            <w:i/>
            <w:iCs/>
            <w:color w:val="0000FF"/>
            <w:sz w:val="24"/>
            <w:szCs w:val="24"/>
            <w:u w:val="single"/>
          </w:rPr>
          <w:t>Massachusetts v. Mellon,</w:t>
        </w:r>
        <w:r w:rsidRPr="00FF3066">
          <w:rPr>
            <w:rFonts w:ascii="Times New Roman" w:eastAsia="Times New Roman" w:hAnsi="Times New Roman" w:cs="Times New Roman"/>
            <w:color w:val="0000FF"/>
            <w:sz w:val="24"/>
            <w:szCs w:val="24"/>
            <w:u w:val="single"/>
          </w:rPr>
          <w:t xml:space="preserve"> 262 U.S. 447, 485-486 (1923)</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Second, petitioner's claim is independently barred by the AIA, which provides that “no suit for the purpose of restraining the assessment or collection of any tax shall be maintained in any court by any person, whether or not such person is the person against whom such tax was assessed.” </w:t>
      </w:r>
      <w:hyperlink r:id="rId122" w:tgtFrame="_top" w:history="1">
        <w:r w:rsidRPr="00FF3066">
          <w:rPr>
            <w:rFonts w:ascii="Times New Roman" w:eastAsia="Times New Roman" w:hAnsi="Times New Roman" w:cs="Times New Roman"/>
            <w:color w:val="0000FF"/>
            <w:sz w:val="24"/>
            <w:szCs w:val="24"/>
            <w:u w:val="single"/>
          </w:rPr>
          <w:t>26 U.S.C. 7421(a)</w:t>
        </w:r>
      </w:hyperlink>
      <w:r w:rsidRPr="00FF3066">
        <w:rPr>
          <w:rFonts w:ascii="Times New Roman" w:eastAsia="Times New Roman" w:hAnsi="Times New Roman" w:cs="Times New Roman"/>
          <w:sz w:val="24"/>
          <w:szCs w:val="24"/>
        </w:rPr>
        <w:t xml:space="preserve">. The AIA “protects the Government's ability to collect a consistent stream of </w:t>
      </w:r>
      <w:proofErr w:type="gramStart"/>
      <w:r w:rsidRPr="00FF3066">
        <w:rPr>
          <w:rFonts w:ascii="Times New Roman" w:eastAsia="Times New Roman" w:hAnsi="Times New Roman" w:cs="Times New Roman"/>
          <w:sz w:val="24"/>
          <w:szCs w:val="24"/>
        </w:rPr>
        <w:t>revenue[</w:t>
      </w:r>
      <w:proofErr w:type="gramEnd"/>
      <w:r w:rsidRPr="00FF3066">
        <w:rPr>
          <w:rFonts w:ascii="Times New Roman" w:eastAsia="Times New Roman" w:hAnsi="Times New Roman" w:cs="Times New Roman"/>
          <w:sz w:val="24"/>
          <w:szCs w:val="24"/>
        </w:rPr>
        <w:t xml:space="preserve">] by barring litigation to enjoin or otherwise obstruct the collection of taxes.” </w:t>
      </w:r>
      <w:hyperlink r:id="rId123" w:tgtFrame="_top" w:history="1">
        <w:r w:rsidRPr="00FF3066">
          <w:rPr>
            <w:rFonts w:ascii="Times New Roman" w:eastAsia="Times New Roman" w:hAnsi="Times New Roman" w:cs="Times New Roman"/>
            <w:i/>
            <w:iCs/>
            <w:color w:val="0000FF"/>
            <w:sz w:val="24"/>
            <w:szCs w:val="24"/>
            <w:u w:val="single"/>
          </w:rPr>
          <w:t xml:space="preserve">National </w:t>
        </w:r>
        <w:proofErr w:type="spellStart"/>
        <w:r w:rsidRPr="00FF3066">
          <w:rPr>
            <w:rFonts w:ascii="Times New Roman" w:eastAsia="Times New Roman" w:hAnsi="Times New Roman" w:cs="Times New Roman"/>
            <w:i/>
            <w:iCs/>
            <w:color w:val="0000FF"/>
            <w:sz w:val="24"/>
            <w:szCs w:val="24"/>
            <w:u w:val="single"/>
          </w:rPr>
          <w:t>Fed'n</w:t>
        </w:r>
        <w:proofErr w:type="spellEnd"/>
        <w:r w:rsidRPr="00FF3066">
          <w:rPr>
            <w:rFonts w:ascii="Times New Roman" w:eastAsia="Times New Roman" w:hAnsi="Times New Roman" w:cs="Times New Roman"/>
            <w:i/>
            <w:iCs/>
            <w:color w:val="0000FF"/>
            <w:sz w:val="24"/>
            <w:szCs w:val="24"/>
            <w:u w:val="single"/>
          </w:rPr>
          <w:t xml:space="preserve"> of </w:t>
        </w:r>
        <w:proofErr w:type="spellStart"/>
        <w:r w:rsidRPr="00FF3066">
          <w:rPr>
            <w:rFonts w:ascii="Times New Roman" w:eastAsia="Times New Roman" w:hAnsi="Times New Roman" w:cs="Times New Roman"/>
            <w:i/>
            <w:iCs/>
            <w:color w:val="0000FF"/>
            <w:sz w:val="24"/>
            <w:szCs w:val="24"/>
            <w:u w:val="single"/>
          </w:rPr>
          <w:t>Indep</w:t>
        </w:r>
        <w:proofErr w:type="spellEnd"/>
        <w:r w:rsidRPr="00FF3066">
          <w:rPr>
            <w:rFonts w:ascii="Times New Roman" w:eastAsia="Times New Roman" w:hAnsi="Times New Roman" w:cs="Times New Roman"/>
            <w:i/>
            <w:iCs/>
            <w:color w:val="0000FF"/>
            <w:sz w:val="24"/>
            <w:szCs w:val="24"/>
            <w:u w:val="single"/>
          </w:rPr>
          <w:t xml:space="preserve">. Bus. v. </w:t>
        </w:r>
        <w:proofErr w:type="spellStart"/>
        <w:r w:rsidRPr="00FF3066">
          <w:rPr>
            <w:rFonts w:ascii="Times New Roman" w:eastAsia="Times New Roman" w:hAnsi="Times New Roman" w:cs="Times New Roman"/>
            <w:i/>
            <w:iCs/>
            <w:color w:val="0000FF"/>
            <w:sz w:val="24"/>
            <w:szCs w:val="24"/>
            <w:u w:val="single"/>
          </w:rPr>
          <w:t>Sebelius</w:t>
        </w:r>
        <w:proofErr w:type="spellEnd"/>
        <w:r w:rsidRPr="00FF3066">
          <w:rPr>
            <w:rFonts w:ascii="Times New Roman" w:eastAsia="Times New Roman" w:hAnsi="Times New Roman" w:cs="Times New Roman"/>
            <w:i/>
            <w:iCs/>
            <w:color w:val="0000FF"/>
            <w:sz w:val="24"/>
            <w:szCs w:val="24"/>
            <w:u w:val="single"/>
          </w:rPr>
          <w:t>,</w:t>
        </w:r>
        <w:r w:rsidRPr="00FF3066">
          <w:rPr>
            <w:rFonts w:ascii="Times New Roman" w:eastAsia="Times New Roman" w:hAnsi="Times New Roman" w:cs="Times New Roman"/>
            <w:color w:val="0000FF"/>
            <w:sz w:val="24"/>
            <w:szCs w:val="24"/>
            <w:u w:val="single"/>
          </w:rPr>
          <w:t xml:space="preserve"> 132 S. Ct. 2566, 2582 (2012)</w:t>
        </w:r>
      </w:hyperlink>
      <w:r w:rsidRPr="00FF3066">
        <w:rPr>
          <w:rFonts w:ascii="Times New Roman" w:eastAsia="Times New Roman" w:hAnsi="Times New Roman" w:cs="Times New Roman"/>
          <w:sz w:val="24"/>
          <w:szCs w:val="24"/>
        </w:rPr>
        <w:t xml:space="preserve"> </w:t>
      </w:r>
      <w:proofErr w:type="gramStart"/>
      <w:r w:rsidRPr="00FF3066">
        <w:rPr>
          <w:rFonts w:ascii="Times New Roman" w:eastAsia="Times New Roman" w:hAnsi="Times New Roman" w:cs="Times New Roman"/>
          <w:sz w:val="24"/>
          <w:szCs w:val="24"/>
        </w:rPr>
        <w:t xml:space="preserve">( </w:t>
      </w:r>
      <w:r w:rsidRPr="00FF3066">
        <w:rPr>
          <w:rFonts w:ascii="Times New Roman" w:eastAsia="Times New Roman" w:hAnsi="Times New Roman" w:cs="Times New Roman"/>
          <w:i/>
          <w:iCs/>
          <w:sz w:val="24"/>
          <w:szCs w:val="24"/>
        </w:rPr>
        <w:t>NFIB</w:t>
      </w:r>
      <w:proofErr w:type="gramEnd"/>
      <w:r w:rsidRPr="00FF3066">
        <w:rPr>
          <w:rFonts w:ascii="Times New Roman" w:eastAsia="Times New Roman" w:hAnsi="Times New Roman" w:cs="Times New Roman"/>
          <w:sz w:val="24"/>
          <w:szCs w:val="24"/>
        </w:rPr>
        <w:t xml:space="preserve">). When the AIA applies, it divests a court of subject-matter jurisdiction. </w:t>
      </w:r>
      <w:hyperlink r:id="rId124" w:tgtFrame="_top" w:history="1">
        <w:proofErr w:type="spellStart"/>
        <w:r w:rsidRPr="00FF3066">
          <w:rPr>
            <w:rFonts w:ascii="Times New Roman" w:eastAsia="Times New Roman" w:hAnsi="Times New Roman" w:cs="Times New Roman"/>
            <w:i/>
            <w:iCs/>
            <w:color w:val="0000FF"/>
            <w:sz w:val="24"/>
            <w:szCs w:val="24"/>
            <w:u w:val="single"/>
          </w:rPr>
          <w:t>Enochs</w:t>
        </w:r>
        <w:proofErr w:type="spellEnd"/>
        <w:r w:rsidRPr="00FF3066">
          <w:rPr>
            <w:rFonts w:ascii="Times New Roman" w:eastAsia="Times New Roman" w:hAnsi="Times New Roman" w:cs="Times New Roman"/>
            <w:i/>
            <w:iCs/>
            <w:color w:val="0000FF"/>
            <w:sz w:val="24"/>
            <w:szCs w:val="24"/>
            <w:u w:val="single"/>
          </w:rPr>
          <w:t xml:space="preserve"> v. Williams Packing &amp; Navigation Co.,</w:t>
        </w:r>
        <w:r w:rsidRPr="00FF3066">
          <w:rPr>
            <w:rFonts w:ascii="Times New Roman" w:eastAsia="Times New Roman" w:hAnsi="Times New Roman" w:cs="Times New Roman"/>
            <w:color w:val="0000FF"/>
            <w:sz w:val="24"/>
            <w:szCs w:val="24"/>
            <w:u w:val="single"/>
          </w:rPr>
          <w:t xml:space="preserve"> 370 U.S. 1, 5 (1962)</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In </w:t>
      </w:r>
      <w:r w:rsidRPr="00FF3066">
        <w:rPr>
          <w:rFonts w:ascii="Times New Roman" w:eastAsia="Times New Roman" w:hAnsi="Times New Roman" w:cs="Times New Roman"/>
          <w:i/>
          <w:iCs/>
          <w:sz w:val="24"/>
          <w:szCs w:val="24"/>
        </w:rPr>
        <w:t>NFIB,</w:t>
      </w:r>
      <w:r w:rsidRPr="00FF3066">
        <w:rPr>
          <w:rFonts w:ascii="Times New Roman" w:eastAsia="Times New Roman" w:hAnsi="Times New Roman" w:cs="Times New Roman"/>
          <w:sz w:val="24"/>
          <w:szCs w:val="24"/>
        </w:rPr>
        <w:t xml:space="preserve"> this Court held that the AIA did not bar a challenge to </w:t>
      </w:r>
      <w:hyperlink r:id="rId125" w:tgtFrame="_top" w:history="1">
        <w:r w:rsidRPr="00FF3066">
          <w:rPr>
            <w:rFonts w:ascii="Times New Roman" w:eastAsia="Times New Roman" w:hAnsi="Times New Roman" w:cs="Times New Roman"/>
            <w:color w:val="0000FF"/>
            <w:sz w:val="24"/>
            <w:szCs w:val="24"/>
            <w:u w:val="single"/>
          </w:rPr>
          <w:t>26 U.S.C. 5000A</w:t>
        </w:r>
      </w:hyperlink>
      <w:r w:rsidRPr="00FF3066">
        <w:rPr>
          <w:rFonts w:ascii="Times New Roman" w:eastAsia="Times New Roman" w:hAnsi="Times New Roman" w:cs="Times New Roman"/>
          <w:sz w:val="24"/>
          <w:szCs w:val="24"/>
        </w:rPr>
        <w:t>, which imposes a “penalty” on most individuals who fail to maintain health coverage. The Court relied on the “text of the pertinent</w:t>
      </w:r>
      <w:bookmarkStart w:id="39" w:name="sp_808_12"/>
      <w:bookmarkStart w:id="40" w:name="SDU_12"/>
      <w:bookmarkEnd w:id="39"/>
      <w:bookmarkEnd w:id="40"/>
      <w:r w:rsidRPr="00FF3066">
        <w:rPr>
          <w:rFonts w:ascii="Times New Roman" w:eastAsia="Times New Roman" w:hAnsi="Times New Roman" w:cs="Times New Roman"/>
          <w:sz w:val="24"/>
          <w:szCs w:val="24"/>
        </w:rPr>
        <w:t xml:space="preserve"> *12 statutes” and the label that Congress applied to the payment required by </w:t>
      </w:r>
      <w:hyperlink r:id="rId126" w:tgtFrame="_top" w:history="1">
        <w:r w:rsidRPr="00FF3066">
          <w:rPr>
            <w:rFonts w:ascii="Times New Roman" w:eastAsia="Times New Roman" w:hAnsi="Times New Roman" w:cs="Times New Roman"/>
            <w:color w:val="0000FF"/>
            <w:sz w:val="24"/>
            <w:szCs w:val="24"/>
            <w:u w:val="single"/>
          </w:rPr>
          <w:t>Section 5000A</w:t>
        </w:r>
      </w:hyperlink>
      <w:r w:rsidRPr="00FF3066">
        <w:rPr>
          <w:rFonts w:ascii="Times New Roman" w:eastAsia="Times New Roman" w:hAnsi="Times New Roman" w:cs="Times New Roman"/>
          <w:sz w:val="24"/>
          <w:szCs w:val="24"/>
        </w:rPr>
        <w:t xml:space="preserve">. </w:t>
      </w:r>
      <w:hyperlink r:id="rId127" w:tgtFrame="_top" w:history="1">
        <w:r w:rsidRPr="00FF3066">
          <w:rPr>
            <w:rFonts w:ascii="Times New Roman" w:eastAsia="Times New Roman" w:hAnsi="Times New Roman" w:cs="Times New Roman"/>
            <w:color w:val="0000FF"/>
            <w:sz w:val="24"/>
            <w:szCs w:val="24"/>
            <w:u w:val="single"/>
          </w:rPr>
          <w:t>132 S. Ct. at 2582-2583</w:t>
        </w:r>
      </w:hyperlink>
      <w:r w:rsidRPr="00FF3066">
        <w:rPr>
          <w:rFonts w:ascii="Times New Roman" w:eastAsia="Times New Roman" w:hAnsi="Times New Roman" w:cs="Times New Roman"/>
          <w:sz w:val="24"/>
          <w:szCs w:val="24"/>
        </w:rPr>
        <w:t xml:space="preserve">. The Court stressed that the AIA “applies to suits ‘for the purpose of restraining the assessment or collection of any </w:t>
      </w:r>
      <w:r w:rsidRPr="00FF3066">
        <w:rPr>
          <w:rFonts w:ascii="Times New Roman" w:eastAsia="Times New Roman" w:hAnsi="Times New Roman" w:cs="Times New Roman"/>
          <w:i/>
          <w:iCs/>
          <w:sz w:val="24"/>
          <w:szCs w:val="24"/>
        </w:rPr>
        <w:t>tax,</w:t>
      </w:r>
      <w:r w:rsidRPr="00FF3066">
        <w:rPr>
          <w:rFonts w:ascii="Times New Roman" w:eastAsia="Times New Roman" w:hAnsi="Times New Roman" w:cs="Times New Roman"/>
          <w:sz w:val="24"/>
          <w:szCs w:val="24"/>
        </w:rPr>
        <w:t xml:space="preserve">’ ” but that Congress had described the payment required under </w:t>
      </w:r>
      <w:hyperlink r:id="rId128" w:tgtFrame="_top" w:history="1">
        <w:r w:rsidRPr="00FF3066">
          <w:rPr>
            <w:rFonts w:ascii="Times New Roman" w:eastAsia="Times New Roman" w:hAnsi="Times New Roman" w:cs="Times New Roman"/>
            <w:color w:val="0000FF"/>
            <w:sz w:val="24"/>
            <w:szCs w:val="24"/>
            <w:u w:val="single"/>
          </w:rPr>
          <w:t>Section 5000A</w:t>
        </w:r>
      </w:hyperlink>
      <w:r w:rsidRPr="00FF3066">
        <w:rPr>
          <w:rFonts w:ascii="Times New Roman" w:eastAsia="Times New Roman" w:hAnsi="Times New Roman" w:cs="Times New Roman"/>
          <w:sz w:val="24"/>
          <w:szCs w:val="24"/>
        </w:rPr>
        <w:t xml:space="preserve"> “not as a ‘tax,’ but as a ‘penalty.’ ” </w:t>
      </w:r>
      <w:r w:rsidRPr="00FF3066">
        <w:rPr>
          <w:rFonts w:ascii="Times New Roman" w:eastAsia="Times New Roman" w:hAnsi="Times New Roman" w:cs="Times New Roman"/>
          <w:i/>
          <w:iCs/>
          <w:sz w:val="24"/>
          <w:szCs w:val="24"/>
        </w:rPr>
        <w:t>Ibid.</w:t>
      </w:r>
      <w:r w:rsidRPr="00FF3066">
        <w:rPr>
          <w:rFonts w:ascii="Times New Roman" w:eastAsia="Times New Roman" w:hAnsi="Times New Roman" w:cs="Times New Roman"/>
          <w:sz w:val="24"/>
          <w:szCs w:val="24"/>
        </w:rPr>
        <w:t xml:space="preserve"> (quoting </w:t>
      </w:r>
      <w:hyperlink r:id="rId129" w:tgtFrame="_top" w:history="1">
        <w:r w:rsidRPr="00FF3066">
          <w:rPr>
            <w:rFonts w:ascii="Times New Roman" w:eastAsia="Times New Roman" w:hAnsi="Times New Roman" w:cs="Times New Roman"/>
            <w:color w:val="0000FF"/>
            <w:sz w:val="24"/>
            <w:szCs w:val="24"/>
            <w:u w:val="single"/>
          </w:rPr>
          <w:t>26 U.S.C. 5000A(b)</w:t>
        </w:r>
      </w:hyperlink>
      <w:r w:rsidRPr="00FF3066">
        <w:rPr>
          <w:rFonts w:ascii="Times New Roman" w:eastAsia="Times New Roman" w:hAnsi="Times New Roman" w:cs="Times New Roman"/>
          <w:sz w:val="24"/>
          <w:szCs w:val="24"/>
        </w:rPr>
        <w:t xml:space="preserve"> and </w:t>
      </w:r>
      <w:hyperlink r:id="rId130" w:tgtFrame="_top" w:history="1">
        <w:r w:rsidRPr="00FF3066">
          <w:rPr>
            <w:rFonts w:ascii="Times New Roman" w:eastAsia="Times New Roman" w:hAnsi="Times New Roman" w:cs="Times New Roman"/>
            <w:color w:val="0000FF"/>
            <w:sz w:val="24"/>
            <w:szCs w:val="24"/>
            <w:u w:val="single"/>
          </w:rPr>
          <w:t>(g)(2)</w:t>
        </w:r>
      </w:hyperlink>
      <w:r w:rsidRPr="00FF3066">
        <w:rPr>
          <w:rFonts w:ascii="Times New Roman" w:eastAsia="Times New Roman" w:hAnsi="Times New Roman" w:cs="Times New Roman"/>
          <w:sz w:val="24"/>
          <w:szCs w:val="24"/>
        </w:rPr>
        <w:t xml:space="preserve">, </w:t>
      </w:r>
      <w:hyperlink r:id="rId131" w:tgtFrame="_top" w:history="1">
        <w:r w:rsidRPr="00FF3066">
          <w:rPr>
            <w:rFonts w:ascii="Times New Roman" w:eastAsia="Times New Roman" w:hAnsi="Times New Roman" w:cs="Times New Roman"/>
            <w:color w:val="0000FF"/>
            <w:sz w:val="24"/>
            <w:szCs w:val="24"/>
            <w:u w:val="single"/>
          </w:rPr>
          <w:t>7421(a)</w:t>
        </w:r>
      </w:hyperlink>
      <w:r w:rsidRPr="00FF3066">
        <w:rPr>
          <w:rFonts w:ascii="Times New Roman" w:eastAsia="Times New Roman" w:hAnsi="Times New Roman" w:cs="Times New Roman"/>
          <w:sz w:val="24"/>
          <w:szCs w:val="24"/>
        </w:rPr>
        <w:t xml:space="preserve">). The Court reasoned that “Congress's decision to label [the </w:t>
      </w:r>
      <w:hyperlink r:id="rId132" w:tgtFrame="_top" w:history="1">
        <w:r w:rsidRPr="00FF3066">
          <w:rPr>
            <w:rFonts w:ascii="Times New Roman" w:eastAsia="Times New Roman" w:hAnsi="Times New Roman" w:cs="Times New Roman"/>
            <w:color w:val="0000FF"/>
            <w:sz w:val="24"/>
            <w:szCs w:val="24"/>
            <w:u w:val="single"/>
          </w:rPr>
          <w:t>Section 5000A</w:t>
        </w:r>
      </w:hyperlink>
      <w:r w:rsidRPr="00FF3066">
        <w:rPr>
          <w:rFonts w:ascii="Times New Roman" w:eastAsia="Times New Roman" w:hAnsi="Times New Roman" w:cs="Times New Roman"/>
          <w:sz w:val="24"/>
          <w:szCs w:val="24"/>
        </w:rPr>
        <w:t xml:space="preserve">] exaction a ‘penalty’ rather than a ‘tax’ is significant because the Affordable Care Act describes many other exactions it creates as ‘taxes.’ ” </w:t>
      </w:r>
      <w:hyperlink r:id="rId133" w:tgtFrame="_top" w:history="1">
        <w:r w:rsidRPr="00FF3066">
          <w:rPr>
            <w:rFonts w:ascii="Times New Roman" w:eastAsia="Times New Roman" w:hAnsi="Times New Roman" w:cs="Times New Roman"/>
            <w:i/>
            <w:iCs/>
            <w:color w:val="0000FF"/>
            <w:sz w:val="24"/>
            <w:szCs w:val="24"/>
            <w:u w:val="single"/>
          </w:rPr>
          <w:t>Id.</w:t>
        </w:r>
        <w:r w:rsidRPr="00FF3066">
          <w:rPr>
            <w:rFonts w:ascii="Times New Roman" w:eastAsia="Times New Roman" w:hAnsi="Times New Roman" w:cs="Times New Roman"/>
            <w:color w:val="0000FF"/>
            <w:sz w:val="24"/>
            <w:szCs w:val="24"/>
            <w:u w:val="single"/>
          </w:rPr>
          <w:t xml:space="preserve"> at 2583</w:t>
        </w:r>
      </w:hyperlink>
      <w:r w:rsidRPr="00FF3066">
        <w:rPr>
          <w:rFonts w:ascii="Times New Roman" w:eastAsia="Times New Roman" w:hAnsi="Times New Roman" w:cs="Times New Roman"/>
          <w:sz w:val="24"/>
          <w:szCs w:val="24"/>
        </w:rPr>
        <w:t xml:space="preserve"> (citation omitted).</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Petitioner seeks to restrain the assessment and collection of the payment required by </w:t>
      </w:r>
      <w:hyperlink r:id="rId134"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Its suit is barred by the AIA because, in contrast to </w:t>
      </w:r>
      <w:hyperlink r:id="rId135" w:tgtFrame="_top" w:history="1">
        <w:r w:rsidRPr="00FF3066">
          <w:rPr>
            <w:rFonts w:ascii="Times New Roman" w:eastAsia="Times New Roman" w:hAnsi="Times New Roman" w:cs="Times New Roman"/>
            <w:color w:val="0000FF"/>
            <w:sz w:val="24"/>
            <w:szCs w:val="24"/>
            <w:u w:val="single"/>
          </w:rPr>
          <w:t>Section 5000A</w:t>
        </w:r>
      </w:hyperlink>
      <w:r w:rsidRPr="00FF3066">
        <w:rPr>
          <w:rFonts w:ascii="Times New Roman" w:eastAsia="Times New Roman" w:hAnsi="Times New Roman" w:cs="Times New Roman"/>
          <w:sz w:val="24"/>
          <w:szCs w:val="24"/>
        </w:rPr>
        <w:t xml:space="preserve">, </w:t>
      </w:r>
      <w:hyperlink r:id="rId136"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repeatedly describes that payment as a “tax.” </w:t>
      </w:r>
      <w:hyperlink r:id="rId137" w:tgtFrame="_top" w:history="1">
        <w:r w:rsidRPr="00FF3066">
          <w:rPr>
            <w:rFonts w:ascii="Times New Roman" w:eastAsia="Times New Roman" w:hAnsi="Times New Roman" w:cs="Times New Roman"/>
            <w:color w:val="0000FF"/>
            <w:sz w:val="24"/>
            <w:szCs w:val="24"/>
            <w:u w:val="single"/>
          </w:rPr>
          <w:t xml:space="preserve">Section </w:t>
        </w:r>
        <w:proofErr w:type="gramStart"/>
        <w:r w:rsidRPr="00FF3066">
          <w:rPr>
            <w:rFonts w:ascii="Times New Roman" w:eastAsia="Times New Roman" w:hAnsi="Times New Roman" w:cs="Times New Roman"/>
            <w:color w:val="0000FF"/>
            <w:sz w:val="24"/>
            <w:szCs w:val="24"/>
            <w:u w:val="single"/>
          </w:rPr>
          <w:t>4980H(</w:t>
        </w:r>
        <w:proofErr w:type="gramEnd"/>
        <w:r w:rsidRPr="00FF3066">
          <w:rPr>
            <w:rFonts w:ascii="Times New Roman" w:eastAsia="Times New Roman" w:hAnsi="Times New Roman" w:cs="Times New Roman"/>
            <w:color w:val="0000FF"/>
            <w:sz w:val="24"/>
            <w:szCs w:val="24"/>
            <w:u w:val="single"/>
          </w:rPr>
          <w:t>b)(2)</w:t>
        </w:r>
      </w:hyperlink>
      <w:r w:rsidRPr="00FF3066">
        <w:rPr>
          <w:rFonts w:ascii="Times New Roman" w:eastAsia="Times New Roman" w:hAnsi="Times New Roman" w:cs="Times New Roman"/>
          <w:sz w:val="24"/>
          <w:szCs w:val="24"/>
        </w:rPr>
        <w:t xml:space="preserve"> places a cap on the “aggregate amount of tax” that an employer may owe under that provision. </w:t>
      </w:r>
      <w:hyperlink r:id="rId138" w:tgtFrame="_top" w:history="1">
        <w:r w:rsidRPr="00FF3066">
          <w:rPr>
            <w:rFonts w:ascii="Times New Roman" w:eastAsia="Times New Roman" w:hAnsi="Times New Roman" w:cs="Times New Roman"/>
            <w:color w:val="0000FF"/>
            <w:sz w:val="24"/>
            <w:szCs w:val="24"/>
            <w:u w:val="single"/>
          </w:rPr>
          <w:t>Section 4980H(e)(7)</w:t>
        </w:r>
      </w:hyperlink>
      <w:r w:rsidRPr="00FF3066">
        <w:rPr>
          <w:rFonts w:ascii="Times New Roman" w:eastAsia="Times New Roman" w:hAnsi="Times New Roman" w:cs="Times New Roman"/>
          <w:sz w:val="24"/>
          <w:szCs w:val="24"/>
        </w:rPr>
        <w:t xml:space="preserve"> provides that the “tax imposed by” </w:t>
      </w:r>
      <w:hyperlink r:id="rId139"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is “nondeductible.” </w:t>
      </w:r>
      <w:hyperlink r:id="rId140" w:tgtFrame="_top" w:history="1">
        <w:r w:rsidRPr="00FF3066">
          <w:rPr>
            <w:rFonts w:ascii="Times New Roman" w:eastAsia="Times New Roman" w:hAnsi="Times New Roman" w:cs="Times New Roman"/>
            <w:color w:val="0000FF"/>
            <w:sz w:val="24"/>
            <w:szCs w:val="24"/>
            <w:u w:val="single"/>
          </w:rPr>
          <w:t>Section 4980H(c</w:t>
        </w:r>
        <w:proofErr w:type="gramStart"/>
        <w:r w:rsidRPr="00FF3066">
          <w:rPr>
            <w:rFonts w:ascii="Times New Roman" w:eastAsia="Times New Roman" w:hAnsi="Times New Roman" w:cs="Times New Roman"/>
            <w:color w:val="0000FF"/>
            <w:sz w:val="24"/>
            <w:szCs w:val="24"/>
            <w:u w:val="single"/>
          </w:rPr>
          <w:t>)(</w:t>
        </w:r>
        <w:proofErr w:type="gramEnd"/>
        <w:r w:rsidRPr="00FF3066">
          <w:rPr>
            <w:rFonts w:ascii="Times New Roman" w:eastAsia="Times New Roman" w:hAnsi="Times New Roman" w:cs="Times New Roman"/>
            <w:color w:val="0000FF"/>
            <w:sz w:val="24"/>
            <w:szCs w:val="24"/>
            <w:u w:val="single"/>
          </w:rPr>
          <w:t>7)</w:t>
        </w:r>
      </w:hyperlink>
      <w:r w:rsidRPr="00FF3066">
        <w:rPr>
          <w:rFonts w:ascii="Times New Roman" w:eastAsia="Times New Roman" w:hAnsi="Times New Roman" w:cs="Times New Roman"/>
          <w:sz w:val="24"/>
          <w:szCs w:val="24"/>
        </w:rPr>
        <w:t xml:space="preserve"> cross-references </w:t>
      </w:r>
      <w:hyperlink r:id="rId141" w:tgtFrame="_top" w:history="1">
        <w:r w:rsidRPr="00FF3066">
          <w:rPr>
            <w:rFonts w:ascii="Times New Roman" w:eastAsia="Times New Roman" w:hAnsi="Times New Roman" w:cs="Times New Roman"/>
            <w:color w:val="0000FF"/>
            <w:sz w:val="24"/>
            <w:szCs w:val="24"/>
            <w:u w:val="single"/>
          </w:rPr>
          <w:t>26 U.S.C. 275(a)(6)</w:t>
        </w:r>
      </w:hyperlink>
      <w:r w:rsidRPr="00FF3066">
        <w:rPr>
          <w:rFonts w:ascii="Times New Roman" w:eastAsia="Times New Roman" w:hAnsi="Times New Roman" w:cs="Times New Roman"/>
          <w:sz w:val="24"/>
          <w:szCs w:val="24"/>
        </w:rPr>
        <w:t xml:space="preserve">, which provides that no tax deduction is allowed for “[t]axes imposed by chapters 41, 42, 43, 44, 45, 46, and 54.” And the assessment imposed by </w:t>
      </w:r>
      <w:hyperlink r:id="rId142"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is also described as a “tax” elsewhere in the Affordable Care Act. See </w:t>
      </w:r>
      <w:hyperlink r:id="rId143" w:tgtFrame="_top" w:history="1">
        <w:r w:rsidRPr="00FF3066">
          <w:rPr>
            <w:rFonts w:ascii="Times New Roman" w:eastAsia="Times New Roman" w:hAnsi="Times New Roman" w:cs="Times New Roman"/>
            <w:color w:val="0000FF"/>
            <w:sz w:val="24"/>
            <w:szCs w:val="24"/>
            <w:u w:val="single"/>
          </w:rPr>
          <w:t>42 U.S.C. 18081(f</w:t>
        </w:r>
        <w:proofErr w:type="gramStart"/>
        <w:r w:rsidRPr="00FF3066">
          <w:rPr>
            <w:rFonts w:ascii="Times New Roman" w:eastAsia="Times New Roman" w:hAnsi="Times New Roman" w:cs="Times New Roman"/>
            <w:color w:val="0000FF"/>
            <w:sz w:val="24"/>
            <w:szCs w:val="24"/>
            <w:u w:val="single"/>
          </w:rPr>
          <w:t>)(</w:t>
        </w:r>
        <w:proofErr w:type="gramEnd"/>
        <w:r w:rsidRPr="00FF3066">
          <w:rPr>
            <w:rFonts w:ascii="Times New Roman" w:eastAsia="Times New Roman" w:hAnsi="Times New Roman" w:cs="Times New Roman"/>
            <w:color w:val="0000FF"/>
            <w:sz w:val="24"/>
            <w:szCs w:val="24"/>
            <w:u w:val="single"/>
          </w:rPr>
          <w:t>2)(A)</w:t>
        </w:r>
      </w:hyperlink>
      <w:r w:rsidRPr="00FF3066">
        <w:rPr>
          <w:rFonts w:ascii="Times New Roman" w:eastAsia="Times New Roman" w:hAnsi="Times New Roman" w:cs="Times New Roman"/>
          <w:sz w:val="24"/>
          <w:szCs w:val="24"/>
        </w:rPr>
        <w:t xml:space="preserve"> (referring to the “tax imposed by [S]</w:t>
      </w:r>
      <w:proofErr w:type="spellStart"/>
      <w:r w:rsidRPr="00FF3066">
        <w:rPr>
          <w:rFonts w:ascii="Times New Roman" w:eastAsia="Times New Roman" w:hAnsi="Times New Roman" w:cs="Times New Roman"/>
          <w:sz w:val="24"/>
          <w:szCs w:val="24"/>
        </w:rPr>
        <w:t>ection</w:t>
      </w:r>
      <w:proofErr w:type="spellEnd"/>
      <w:r w:rsidRPr="00FF3066">
        <w:rPr>
          <w:rFonts w:ascii="Times New Roman" w:eastAsia="Times New Roman" w:hAnsi="Times New Roman" w:cs="Times New Roman"/>
          <w:sz w:val="24"/>
          <w:szCs w:val="24"/>
        </w:rPr>
        <w:t xml:space="preserve"> 4980H”). The AIA thus applies to </w:t>
      </w:r>
      <w:hyperlink r:id="rId144"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because “[t]he text of the pertinent statutes,” </w:t>
      </w:r>
      <w:hyperlink r:id="rId145" w:tgtFrame="_top" w:history="1">
        <w:r w:rsidRPr="00FF3066">
          <w:rPr>
            <w:rFonts w:ascii="Times New Roman" w:eastAsia="Times New Roman" w:hAnsi="Times New Roman" w:cs="Times New Roman"/>
            <w:i/>
            <w:iCs/>
            <w:color w:val="0000FF"/>
            <w:sz w:val="24"/>
            <w:szCs w:val="24"/>
            <w:u w:val="single"/>
          </w:rPr>
          <w:t>NFIB,</w:t>
        </w:r>
        <w:r w:rsidRPr="00FF3066">
          <w:rPr>
            <w:rFonts w:ascii="Times New Roman" w:eastAsia="Times New Roman" w:hAnsi="Times New Roman" w:cs="Times New Roman"/>
            <w:color w:val="0000FF"/>
            <w:sz w:val="24"/>
            <w:szCs w:val="24"/>
            <w:u w:val="single"/>
          </w:rPr>
          <w:t xml:space="preserve"> 132 S. Ct. at 2582</w:t>
        </w:r>
      </w:hyperlink>
      <w:r w:rsidRPr="00FF3066">
        <w:rPr>
          <w:rFonts w:ascii="Times New Roman" w:eastAsia="Times New Roman" w:hAnsi="Times New Roman" w:cs="Times New Roman"/>
          <w:sz w:val="24"/>
          <w:szCs w:val="24"/>
        </w:rPr>
        <w:t>, makes clear that Congress deemed the exaction imposed by that provision to be a “tax.”</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In reaching a contrary conclusion, the district court adopted the reasoning of </w:t>
      </w:r>
      <w:bookmarkStart w:id="41" w:name="sp_808_13"/>
      <w:bookmarkStart w:id="42" w:name="SDU_13"/>
      <w:bookmarkEnd w:id="41"/>
      <w:bookmarkEnd w:id="42"/>
      <w:r w:rsidRPr="00FF3066">
        <w:rPr>
          <w:rFonts w:ascii="Times New Roman" w:eastAsia="Times New Roman" w:hAnsi="Times New Roman" w:cs="Times New Roman"/>
          <w:sz w:val="24"/>
          <w:szCs w:val="24"/>
        </w:rPr>
        <w:t xml:space="preserve">*13 </w:t>
      </w:r>
      <w:hyperlink r:id="rId146" w:tgtFrame="_top" w:history="1">
        <w:r w:rsidRPr="00FF3066">
          <w:rPr>
            <w:rFonts w:ascii="Times New Roman" w:eastAsia="Times New Roman" w:hAnsi="Times New Roman" w:cs="Times New Roman"/>
            <w:i/>
            <w:iCs/>
            <w:color w:val="0000FF"/>
            <w:sz w:val="24"/>
            <w:szCs w:val="24"/>
            <w:u w:val="single"/>
          </w:rPr>
          <w:t>Liberty University, Inc. v.</w:t>
        </w:r>
        <w:r w:rsidRPr="00FF3066">
          <w:rPr>
            <w:rFonts w:ascii="Times New Roman" w:eastAsia="Times New Roman" w:hAnsi="Times New Roman" w:cs="Times New Roman"/>
            <w:color w:val="0000FF"/>
            <w:sz w:val="24"/>
            <w:szCs w:val="24"/>
            <w:u w:val="single"/>
          </w:rPr>
          <w:t xml:space="preserve"> </w:t>
        </w:r>
        <w:r w:rsidRPr="00FF3066">
          <w:rPr>
            <w:rFonts w:ascii="Times New Roman" w:eastAsia="Times New Roman" w:hAnsi="Times New Roman" w:cs="Times New Roman"/>
            <w:i/>
            <w:iCs/>
            <w:color w:val="0000FF"/>
            <w:sz w:val="24"/>
            <w:szCs w:val="24"/>
            <w:u w:val="single"/>
          </w:rPr>
          <w:t>Lew,</w:t>
        </w:r>
        <w:r w:rsidRPr="00FF3066">
          <w:rPr>
            <w:rFonts w:ascii="Times New Roman" w:eastAsia="Times New Roman" w:hAnsi="Times New Roman" w:cs="Times New Roman"/>
            <w:color w:val="0000FF"/>
            <w:sz w:val="24"/>
            <w:szCs w:val="24"/>
            <w:u w:val="single"/>
          </w:rPr>
          <w:t xml:space="preserve"> 733 F.3d 72 (4th Cir.)</w:t>
        </w:r>
      </w:hyperlink>
      <w:r w:rsidRPr="00FF3066">
        <w:rPr>
          <w:rFonts w:ascii="Times New Roman" w:eastAsia="Times New Roman" w:hAnsi="Times New Roman" w:cs="Times New Roman"/>
          <w:sz w:val="24"/>
          <w:szCs w:val="24"/>
        </w:rPr>
        <w:t xml:space="preserve">, cert. denied, </w:t>
      </w:r>
      <w:hyperlink r:id="rId147" w:tgtFrame="_top" w:history="1">
        <w:r w:rsidRPr="00FF3066">
          <w:rPr>
            <w:rFonts w:ascii="Times New Roman" w:eastAsia="Times New Roman" w:hAnsi="Times New Roman" w:cs="Times New Roman"/>
            <w:color w:val="0000FF"/>
            <w:sz w:val="24"/>
            <w:szCs w:val="24"/>
            <w:u w:val="single"/>
          </w:rPr>
          <w:t>134 S. Ct. 683 (2013)</w:t>
        </w:r>
      </w:hyperlink>
      <w:r w:rsidRPr="00FF3066">
        <w:rPr>
          <w:rFonts w:ascii="Times New Roman" w:eastAsia="Times New Roman" w:hAnsi="Times New Roman" w:cs="Times New Roman"/>
          <w:sz w:val="24"/>
          <w:szCs w:val="24"/>
        </w:rPr>
        <w:t xml:space="preserve">. In that case, the Fourth Circuit emphasized that several provisions in </w:t>
      </w:r>
      <w:hyperlink r:id="rId148"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refer to the required payment as an “assessable payment” rather than a “tax.” </w:t>
      </w:r>
      <w:hyperlink r:id="rId149" w:tgtFrame="_top" w:history="1">
        <w:r w:rsidRPr="00FF3066">
          <w:rPr>
            <w:rFonts w:ascii="Times New Roman" w:eastAsia="Times New Roman" w:hAnsi="Times New Roman" w:cs="Times New Roman"/>
            <w:i/>
            <w:iCs/>
            <w:color w:val="0000FF"/>
            <w:sz w:val="24"/>
            <w:szCs w:val="24"/>
            <w:u w:val="single"/>
          </w:rPr>
          <w:t>Id.</w:t>
        </w:r>
        <w:r w:rsidRPr="00FF3066">
          <w:rPr>
            <w:rFonts w:ascii="Times New Roman" w:eastAsia="Times New Roman" w:hAnsi="Times New Roman" w:cs="Times New Roman"/>
            <w:color w:val="0000FF"/>
            <w:sz w:val="24"/>
            <w:szCs w:val="24"/>
            <w:u w:val="single"/>
          </w:rPr>
          <w:t xml:space="preserve"> at 88</w:t>
        </w:r>
      </w:hyperlink>
      <w:r w:rsidRPr="00FF3066">
        <w:rPr>
          <w:rFonts w:ascii="Times New Roman" w:eastAsia="Times New Roman" w:hAnsi="Times New Roman" w:cs="Times New Roman"/>
          <w:sz w:val="24"/>
          <w:szCs w:val="24"/>
        </w:rPr>
        <w:t xml:space="preserve"> (citation omitted)</w:t>
      </w:r>
      <w:proofErr w:type="gramStart"/>
      <w:r w:rsidRPr="00FF3066">
        <w:rPr>
          <w:rFonts w:ascii="Times New Roman" w:eastAsia="Times New Roman" w:hAnsi="Times New Roman" w:cs="Times New Roman"/>
          <w:sz w:val="24"/>
          <w:szCs w:val="24"/>
        </w:rPr>
        <w:t>.</w:t>
      </w:r>
      <w:r w:rsidRPr="00FF3066">
        <w:rPr>
          <w:rFonts w:ascii="Times New Roman" w:eastAsia="Times New Roman" w:hAnsi="Times New Roman" w:cs="Times New Roman"/>
          <w:sz w:val="24"/>
          <w:szCs w:val="24"/>
          <w:vertAlign w:val="superscript"/>
        </w:rPr>
        <w:t>[</w:t>
      </w:r>
      <w:proofErr w:type="gramEnd"/>
      <w:r w:rsidRPr="00FF3066">
        <w:rPr>
          <w:rFonts w:ascii="Times New Roman" w:eastAsia="Times New Roman" w:hAnsi="Times New Roman" w:cs="Times New Roman"/>
          <w:sz w:val="24"/>
          <w:szCs w:val="24"/>
          <w:vertAlign w:val="superscript"/>
        </w:rPr>
        <w:t>FN7]</w:t>
      </w:r>
      <w:r w:rsidRPr="00FF3066">
        <w:rPr>
          <w:rFonts w:ascii="Times New Roman" w:eastAsia="Times New Roman" w:hAnsi="Times New Roman" w:cs="Times New Roman"/>
          <w:sz w:val="24"/>
          <w:szCs w:val="24"/>
        </w:rPr>
        <w:t xml:space="preserve"> The Fourth Circuit thus effectively read “the term ‘assessable payment’ as nullifying the effect of the word ‘tax’ ” for purposes of the AIA. </w:t>
      </w:r>
      <w:hyperlink r:id="rId150" w:tgtFrame="_top" w:history="1">
        <w:proofErr w:type="spellStart"/>
        <w:r w:rsidRPr="00FF3066">
          <w:rPr>
            <w:rFonts w:ascii="Times New Roman" w:eastAsia="Times New Roman" w:hAnsi="Times New Roman" w:cs="Times New Roman"/>
            <w:i/>
            <w:iCs/>
            <w:color w:val="0000FF"/>
            <w:sz w:val="24"/>
            <w:szCs w:val="24"/>
            <w:u w:val="single"/>
          </w:rPr>
          <w:t>Halbig</w:t>
        </w:r>
        <w:proofErr w:type="spellEnd"/>
        <w:r w:rsidRPr="00FF3066">
          <w:rPr>
            <w:rFonts w:ascii="Times New Roman" w:eastAsia="Times New Roman" w:hAnsi="Times New Roman" w:cs="Times New Roman"/>
            <w:i/>
            <w:iCs/>
            <w:color w:val="0000FF"/>
            <w:sz w:val="24"/>
            <w:szCs w:val="24"/>
            <w:u w:val="single"/>
          </w:rPr>
          <w:t xml:space="preserve"> v. </w:t>
        </w:r>
        <w:proofErr w:type="spellStart"/>
        <w:r w:rsidRPr="00FF3066">
          <w:rPr>
            <w:rFonts w:ascii="Times New Roman" w:eastAsia="Times New Roman" w:hAnsi="Times New Roman" w:cs="Times New Roman"/>
            <w:i/>
            <w:iCs/>
            <w:color w:val="0000FF"/>
            <w:sz w:val="24"/>
            <w:szCs w:val="24"/>
            <w:u w:val="single"/>
          </w:rPr>
          <w:t>Sebelius</w:t>
        </w:r>
        <w:proofErr w:type="spellEnd"/>
        <w:r w:rsidRPr="00FF3066">
          <w:rPr>
            <w:rFonts w:ascii="Times New Roman" w:eastAsia="Times New Roman" w:hAnsi="Times New Roman" w:cs="Times New Roman"/>
            <w:i/>
            <w:iCs/>
            <w:color w:val="0000FF"/>
            <w:sz w:val="24"/>
            <w:szCs w:val="24"/>
            <w:u w:val="single"/>
          </w:rPr>
          <w:t>,</w:t>
        </w:r>
        <w:r w:rsidRPr="00FF3066">
          <w:rPr>
            <w:rFonts w:ascii="Times New Roman" w:eastAsia="Times New Roman" w:hAnsi="Times New Roman" w:cs="Times New Roman"/>
            <w:color w:val="0000FF"/>
            <w:sz w:val="24"/>
            <w:szCs w:val="24"/>
            <w:u w:val="single"/>
          </w:rPr>
          <w:t xml:space="preserve"> No. 13-cv-623, 2014 WL 129023, at *10 (D.D.C. Jan. 15, 2014)</w:t>
        </w:r>
      </w:hyperlink>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rev'd</w:t>
      </w:r>
      <w:proofErr w:type="spellEnd"/>
      <w:r w:rsidRPr="00FF3066">
        <w:rPr>
          <w:rFonts w:ascii="Times New Roman" w:eastAsia="Times New Roman" w:hAnsi="Times New Roman" w:cs="Times New Roman"/>
          <w:sz w:val="24"/>
          <w:szCs w:val="24"/>
        </w:rPr>
        <w:t xml:space="preserve"> on other grounds, </w:t>
      </w:r>
      <w:hyperlink r:id="rId151" w:tgtFrame="_top" w:history="1">
        <w:r w:rsidRPr="00FF3066">
          <w:rPr>
            <w:rFonts w:ascii="Times New Roman" w:eastAsia="Times New Roman" w:hAnsi="Times New Roman" w:cs="Times New Roman"/>
            <w:color w:val="0000FF"/>
            <w:sz w:val="24"/>
            <w:szCs w:val="24"/>
            <w:u w:val="single"/>
          </w:rPr>
          <w:t>758 F.3d 390 (D.C. Cir. 2014)</w:t>
        </w:r>
      </w:hyperlink>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reh'g</w:t>
      </w:r>
      <w:proofErr w:type="spellEnd"/>
      <w:r w:rsidRPr="00FF3066">
        <w:rPr>
          <w:rFonts w:ascii="Times New Roman" w:eastAsia="Times New Roman" w:hAnsi="Times New Roman" w:cs="Times New Roman"/>
          <w:sz w:val="24"/>
          <w:szCs w:val="24"/>
        </w:rPr>
        <w:t xml:space="preserve"> </w:t>
      </w:r>
      <w:proofErr w:type="spellStart"/>
      <w:r w:rsidRPr="00FF3066">
        <w:rPr>
          <w:rFonts w:ascii="Times New Roman" w:eastAsia="Times New Roman" w:hAnsi="Times New Roman" w:cs="Times New Roman"/>
          <w:sz w:val="24"/>
          <w:szCs w:val="24"/>
        </w:rPr>
        <w:t>en</w:t>
      </w:r>
      <w:proofErr w:type="spellEnd"/>
      <w:r w:rsidRPr="00FF3066">
        <w:rPr>
          <w:rFonts w:ascii="Times New Roman" w:eastAsia="Times New Roman" w:hAnsi="Times New Roman" w:cs="Times New Roman"/>
          <w:sz w:val="24"/>
          <w:szCs w:val="24"/>
        </w:rPr>
        <w:t xml:space="preserve"> banc granted, </w:t>
      </w:r>
      <w:hyperlink r:id="rId152" w:tgtFrame="_top" w:history="1">
        <w:r w:rsidRPr="00FF3066">
          <w:rPr>
            <w:rFonts w:ascii="Times New Roman" w:eastAsia="Times New Roman" w:hAnsi="Times New Roman" w:cs="Times New Roman"/>
            <w:color w:val="0000FF"/>
            <w:sz w:val="24"/>
            <w:szCs w:val="24"/>
            <w:u w:val="single"/>
          </w:rPr>
          <w:t>No. 14-5018, 2014 WL 4627181 (Sept. 4, 2014)</w:t>
        </w:r>
      </w:hyperlink>
      <w:r w:rsidRPr="00FF3066">
        <w:rPr>
          <w:rFonts w:ascii="Times New Roman" w:eastAsia="Times New Roman" w:hAnsi="Times New Roman" w:cs="Times New Roman"/>
          <w:sz w:val="24"/>
          <w:szCs w:val="24"/>
        </w:rPr>
        <w:t xml:space="preserve">. But “the natural conclusion to draw from Congress's interchangeable use of the terms ‘assessable payment’ and ‘tax’ in </w:t>
      </w:r>
      <w:hyperlink r:id="rId153"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is simply that Congress saw no distinction between the two terms.” </w:t>
      </w:r>
      <w:r w:rsidRPr="00FF3066">
        <w:rPr>
          <w:rFonts w:ascii="Times New Roman" w:eastAsia="Times New Roman" w:hAnsi="Times New Roman" w:cs="Times New Roman"/>
          <w:i/>
          <w:iCs/>
          <w:sz w:val="24"/>
          <w:szCs w:val="24"/>
        </w:rPr>
        <w:t>Ibid.</w:t>
      </w:r>
      <w:r w:rsidRPr="00FF3066">
        <w:rPr>
          <w:rFonts w:ascii="Times New Roman" w:eastAsia="Times New Roman" w:hAnsi="Times New Roman" w:cs="Times New Roman"/>
          <w:sz w:val="24"/>
          <w:szCs w:val="24"/>
        </w:rPr>
        <w:t xml:space="preserve"> The contrary conclusion adopted by the Fourth Circuit and endorsed by the district court here disregards Congress's deliberate choice to label the exaction imposed by </w:t>
      </w:r>
      <w:hyperlink r:id="rId154"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a “tax” and the AIA's broad applicability to “ </w:t>
      </w:r>
      <w:r w:rsidRPr="00FF3066">
        <w:rPr>
          <w:rFonts w:ascii="Times New Roman" w:eastAsia="Times New Roman" w:hAnsi="Times New Roman" w:cs="Times New Roman"/>
          <w:i/>
          <w:iCs/>
          <w:sz w:val="24"/>
          <w:szCs w:val="24"/>
        </w:rPr>
        <w:t>any</w:t>
      </w:r>
      <w:r w:rsidRPr="00FF3066">
        <w:rPr>
          <w:rFonts w:ascii="Times New Roman" w:eastAsia="Times New Roman" w:hAnsi="Times New Roman" w:cs="Times New Roman"/>
          <w:sz w:val="24"/>
          <w:szCs w:val="24"/>
        </w:rPr>
        <w:t xml:space="preserve"> tax.” </w:t>
      </w:r>
      <w:hyperlink r:id="rId155" w:tgtFrame="_top" w:history="1">
        <w:r w:rsidRPr="00FF3066">
          <w:rPr>
            <w:rFonts w:ascii="Times New Roman" w:eastAsia="Times New Roman" w:hAnsi="Times New Roman" w:cs="Times New Roman"/>
            <w:color w:val="0000FF"/>
            <w:sz w:val="24"/>
            <w:szCs w:val="24"/>
            <w:u w:val="single"/>
          </w:rPr>
          <w:t>26 U.S.C. 7421(a)</w:t>
        </w:r>
      </w:hyperlink>
      <w:r w:rsidRPr="00FF3066">
        <w:rPr>
          <w:rFonts w:ascii="Times New Roman" w:eastAsia="Times New Roman" w:hAnsi="Times New Roman" w:cs="Times New Roman"/>
          <w:sz w:val="24"/>
          <w:szCs w:val="24"/>
        </w:rPr>
        <w:t xml:space="preserve"> (emphasis added).</w:t>
      </w:r>
      <w:r w:rsidRPr="00FF3066">
        <w:rPr>
          <w:rFonts w:ascii="Times New Roman" w:eastAsia="Times New Roman" w:hAnsi="Times New Roman" w:cs="Times New Roman"/>
          <w:sz w:val="24"/>
          <w:szCs w:val="24"/>
          <w:vertAlign w:val="superscript"/>
        </w:rPr>
        <w:t>[FN8]</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 xml:space="preserve">FN7. The title of one subparagraph in </w:t>
      </w:r>
      <w:hyperlink r:id="rId156"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also refers to “assessable penalties.” </w:t>
      </w:r>
      <w:hyperlink r:id="rId157" w:tgtFrame="_top" w:history="1">
        <w:r w:rsidRPr="00FF3066">
          <w:rPr>
            <w:rFonts w:ascii="Times New Roman" w:eastAsia="Times New Roman" w:hAnsi="Times New Roman" w:cs="Times New Roman"/>
            <w:color w:val="0000FF"/>
            <w:sz w:val="24"/>
            <w:szCs w:val="24"/>
            <w:u w:val="single"/>
          </w:rPr>
          <w:t>26 U.S.C. 4980H(c)(2)(D)</w:t>
        </w:r>
      </w:hyperlink>
      <w:r w:rsidRPr="00FF3066">
        <w:rPr>
          <w:rFonts w:ascii="Times New Roman" w:eastAsia="Times New Roman" w:hAnsi="Times New Roman" w:cs="Times New Roman"/>
          <w:sz w:val="24"/>
          <w:szCs w:val="24"/>
        </w:rPr>
        <w:t>.</w:t>
      </w:r>
    </w:p>
    <w:p w:rsidR="00FF3066" w:rsidRPr="00FF3066" w:rsidRDefault="00FF3066" w:rsidP="00FF3066">
      <w:pPr>
        <w:spacing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lastRenderedPageBreak/>
        <w:t xml:space="preserve">FN8. The Fourth Circuit also suggested that it would be “anomalous” to permit individuals to bring pre-enforcement challenges to the penalty imposed under </w:t>
      </w:r>
      <w:hyperlink r:id="rId158" w:tgtFrame="_top" w:history="1">
        <w:r w:rsidRPr="00FF3066">
          <w:rPr>
            <w:rFonts w:ascii="Times New Roman" w:eastAsia="Times New Roman" w:hAnsi="Times New Roman" w:cs="Times New Roman"/>
            <w:color w:val="0000FF"/>
            <w:sz w:val="24"/>
            <w:szCs w:val="24"/>
            <w:u w:val="single"/>
          </w:rPr>
          <w:t>Section 5000A</w:t>
        </w:r>
      </w:hyperlink>
      <w:r w:rsidRPr="00FF3066">
        <w:rPr>
          <w:rFonts w:ascii="Times New Roman" w:eastAsia="Times New Roman" w:hAnsi="Times New Roman" w:cs="Times New Roman"/>
          <w:sz w:val="24"/>
          <w:szCs w:val="24"/>
        </w:rPr>
        <w:t xml:space="preserve"> while denying employers the ability to bring such challenges to the payment required by </w:t>
      </w:r>
      <w:hyperlink r:id="rId159"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w:t>
      </w:r>
      <w:hyperlink r:id="rId160" w:tgtFrame="_top" w:history="1">
        <w:r w:rsidRPr="00FF3066">
          <w:rPr>
            <w:rFonts w:ascii="Times New Roman" w:eastAsia="Times New Roman" w:hAnsi="Times New Roman" w:cs="Times New Roman"/>
            <w:i/>
            <w:iCs/>
            <w:color w:val="0000FF"/>
            <w:sz w:val="24"/>
            <w:szCs w:val="24"/>
            <w:u w:val="single"/>
          </w:rPr>
          <w:t>Liberty Univ.,</w:t>
        </w:r>
        <w:r w:rsidRPr="00FF3066">
          <w:rPr>
            <w:rFonts w:ascii="Times New Roman" w:eastAsia="Times New Roman" w:hAnsi="Times New Roman" w:cs="Times New Roman"/>
            <w:color w:val="0000FF"/>
            <w:sz w:val="24"/>
            <w:szCs w:val="24"/>
            <w:u w:val="single"/>
          </w:rPr>
          <w:t xml:space="preserve"> 733 F.3d at 88-89</w:t>
        </w:r>
      </w:hyperlink>
      <w:r w:rsidRPr="00FF3066">
        <w:rPr>
          <w:rFonts w:ascii="Times New Roman" w:eastAsia="Times New Roman" w:hAnsi="Times New Roman" w:cs="Times New Roman"/>
          <w:sz w:val="24"/>
          <w:szCs w:val="24"/>
        </w:rPr>
        <w:t xml:space="preserve">. But the two provisions serve different purposes, apply to different categories of taxpayers, and are administered through different procedures. For example, unlike </w:t>
      </w:r>
      <w:hyperlink r:id="rId161" w:tgtFrame="_top" w:history="1">
        <w:r w:rsidRPr="00FF3066">
          <w:rPr>
            <w:rFonts w:ascii="Times New Roman" w:eastAsia="Times New Roman" w:hAnsi="Times New Roman" w:cs="Times New Roman"/>
            <w:color w:val="0000FF"/>
            <w:sz w:val="24"/>
            <w:szCs w:val="24"/>
            <w:u w:val="single"/>
          </w:rPr>
          <w:t>Section 5000A</w:t>
        </w:r>
      </w:hyperlink>
      <w:r w:rsidRPr="00FF3066">
        <w:rPr>
          <w:rFonts w:ascii="Times New Roman" w:eastAsia="Times New Roman" w:hAnsi="Times New Roman" w:cs="Times New Roman"/>
          <w:sz w:val="24"/>
          <w:szCs w:val="24"/>
        </w:rPr>
        <w:t xml:space="preserve">, </w:t>
      </w:r>
      <w:hyperlink r:id="rId162"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is enforceable by levies and by the filing of notices of liens. Compare </w:t>
      </w:r>
      <w:hyperlink r:id="rId163" w:tgtFrame="_top" w:history="1">
        <w:r w:rsidRPr="00FF3066">
          <w:rPr>
            <w:rFonts w:ascii="Times New Roman" w:eastAsia="Times New Roman" w:hAnsi="Times New Roman" w:cs="Times New Roman"/>
            <w:color w:val="0000FF"/>
            <w:sz w:val="24"/>
            <w:szCs w:val="24"/>
            <w:u w:val="single"/>
          </w:rPr>
          <w:t>26 U.S.C. 5000A(g)</w:t>
        </w:r>
      </w:hyperlink>
      <w:r w:rsidRPr="00FF3066">
        <w:rPr>
          <w:rFonts w:ascii="Times New Roman" w:eastAsia="Times New Roman" w:hAnsi="Times New Roman" w:cs="Times New Roman"/>
          <w:sz w:val="24"/>
          <w:szCs w:val="24"/>
        </w:rPr>
        <w:t xml:space="preserve">, with </w:t>
      </w:r>
      <w:hyperlink r:id="rId164" w:tgtFrame="_top" w:history="1">
        <w:r w:rsidRPr="00FF3066">
          <w:rPr>
            <w:rFonts w:ascii="Times New Roman" w:eastAsia="Times New Roman" w:hAnsi="Times New Roman" w:cs="Times New Roman"/>
            <w:color w:val="0000FF"/>
            <w:sz w:val="24"/>
            <w:szCs w:val="24"/>
            <w:u w:val="single"/>
          </w:rPr>
          <w:t>26 U.S.C. 4980H(d)</w:t>
        </w:r>
      </w:hyperlink>
      <w:r w:rsidRPr="00FF3066">
        <w:rPr>
          <w:rFonts w:ascii="Times New Roman" w:eastAsia="Times New Roman" w:hAnsi="Times New Roman" w:cs="Times New Roman"/>
          <w:sz w:val="24"/>
          <w:szCs w:val="24"/>
        </w:rPr>
        <w:t xml:space="preserve">. In addition, a provision of </w:t>
      </w:r>
      <w:hyperlink r:id="rId165"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confirms that Congress understood that employers would challenge payments required by </w:t>
      </w:r>
      <w:hyperlink r:id="rId166" w:tgtFrame="_top" w:history="1">
        <w:r w:rsidRPr="00FF3066">
          <w:rPr>
            <w:rFonts w:ascii="Times New Roman" w:eastAsia="Times New Roman" w:hAnsi="Times New Roman" w:cs="Times New Roman"/>
            <w:color w:val="0000FF"/>
            <w:sz w:val="24"/>
            <w:szCs w:val="24"/>
            <w:u w:val="single"/>
          </w:rPr>
          <w:t>Section 4980H</w:t>
        </w:r>
      </w:hyperlink>
      <w:r w:rsidRPr="00FF3066">
        <w:rPr>
          <w:rFonts w:ascii="Times New Roman" w:eastAsia="Times New Roman" w:hAnsi="Times New Roman" w:cs="Times New Roman"/>
          <w:sz w:val="24"/>
          <w:szCs w:val="24"/>
        </w:rPr>
        <w:t xml:space="preserve"> in post-collection suits by directing Treasury to prescribe rules “for the </w:t>
      </w:r>
      <w:r w:rsidRPr="00FF3066">
        <w:rPr>
          <w:rFonts w:ascii="Times New Roman" w:eastAsia="Times New Roman" w:hAnsi="Times New Roman" w:cs="Times New Roman"/>
          <w:i/>
          <w:iCs/>
          <w:sz w:val="24"/>
          <w:szCs w:val="24"/>
        </w:rPr>
        <w:t>repayment</w:t>
      </w:r>
      <w:r w:rsidRPr="00FF3066">
        <w:rPr>
          <w:rFonts w:ascii="Times New Roman" w:eastAsia="Times New Roman" w:hAnsi="Times New Roman" w:cs="Times New Roman"/>
          <w:sz w:val="24"/>
          <w:szCs w:val="24"/>
        </w:rPr>
        <w:t xml:space="preserve">” of amounts collected under certain circumstances. </w:t>
      </w:r>
      <w:hyperlink r:id="rId167" w:tgtFrame="_top" w:history="1">
        <w:r w:rsidRPr="00FF3066">
          <w:rPr>
            <w:rFonts w:ascii="Times New Roman" w:eastAsia="Times New Roman" w:hAnsi="Times New Roman" w:cs="Times New Roman"/>
            <w:color w:val="0000FF"/>
            <w:sz w:val="24"/>
            <w:szCs w:val="24"/>
            <w:u w:val="single"/>
          </w:rPr>
          <w:t xml:space="preserve">26 U.S.C. </w:t>
        </w:r>
        <w:proofErr w:type="gramStart"/>
        <w:r w:rsidRPr="00FF3066">
          <w:rPr>
            <w:rFonts w:ascii="Times New Roman" w:eastAsia="Times New Roman" w:hAnsi="Times New Roman" w:cs="Times New Roman"/>
            <w:color w:val="0000FF"/>
            <w:sz w:val="24"/>
            <w:szCs w:val="24"/>
            <w:u w:val="single"/>
          </w:rPr>
          <w:t>4980H(</w:t>
        </w:r>
        <w:proofErr w:type="gramEnd"/>
        <w:r w:rsidRPr="00FF3066">
          <w:rPr>
            <w:rFonts w:ascii="Times New Roman" w:eastAsia="Times New Roman" w:hAnsi="Times New Roman" w:cs="Times New Roman"/>
            <w:color w:val="0000FF"/>
            <w:sz w:val="24"/>
            <w:szCs w:val="24"/>
            <w:u w:val="single"/>
          </w:rPr>
          <w:t>d)(3)</w:t>
        </w:r>
      </w:hyperlink>
      <w:r w:rsidRPr="00FF3066">
        <w:rPr>
          <w:rFonts w:ascii="Times New Roman" w:eastAsia="Times New Roman" w:hAnsi="Times New Roman" w:cs="Times New Roman"/>
          <w:sz w:val="24"/>
          <w:szCs w:val="24"/>
        </w:rPr>
        <w:t xml:space="preserve"> (emphasis added); see </w:t>
      </w:r>
      <w:hyperlink r:id="rId168" w:tgtFrame="_top" w:history="1">
        <w:proofErr w:type="spellStart"/>
        <w:r w:rsidRPr="00FF3066">
          <w:rPr>
            <w:rFonts w:ascii="Times New Roman" w:eastAsia="Times New Roman" w:hAnsi="Times New Roman" w:cs="Times New Roman"/>
            <w:i/>
            <w:iCs/>
            <w:color w:val="0000FF"/>
            <w:sz w:val="24"/>
            <w:szCs w:val="24"/>
            <w:u w:val="single"/>
          </w:rPr>
          <w:t>Halbig</w:t>
        </w:r>
        <w:proofErr w:type="spellEnd"/>
        <w:r w:rsidRPr="00FF3066">
          <w:rPr>
            <w:rFonts w:ascii="Times New Roman" w:eastAsia="Times New Roman" w:hAnsi="Times New Roman" w:cs="Times New Roman"/>
            <w:i/>
            <w:iCs/>
            <w:color w:val="0000FF"/>
            <w:sz w:val="24"/>
            <w:szCs w:val="24"/>
            <w:u w:val="single"/>
          </w:rPr>
          <w:t>,</w:t>
        </w:r>
        <w:r w:rsidRPr="00FF3066">
          <w:rPr>
            <w:rFonts w:ascii="Times New Roman" w:eastAsia="Times New Roman" w:hAnsi="Times New Roman" w:cs="Times New Roman"/>
            <w:color w:val="0000FF"/>
            <w:sz w:val="24"/>
            <w:szCs w:val="24"/>
            <w:u w:val="single"/>
          </w:rPr>
          <w:t xml:space="preserve"> 2014 WL 129023, at *10</w:t>
        </w:r>
      </w:hyperlink>
      <w:r w:rsidRPr="00FF3066">
        <w:rPr>
          <w:rFonts w:ascii="Times New Roman" w:eastAsia="Times New Roman" w:hAnsi="Times New Roman" w:cs="Times New Roman"/>
          <w:sz w:val="24"/>
          <w:szCs w:val="24"/>
        </w:rPr>
        <w:t>.</w:t>
      </w: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bookmarkStart w:id="43" w:name="sp_808_14"/>
      <w:bookmarkStart w:id="44" w:name="SDU_14"/>
      <w:bookmarkEnd w:id="43"/>
      <w:bookmarkEnd w:id="44"/>
      <w:r w:rsidRPr="00FF3066">
        <w:rPr>
          <w:rFonts w:ascii="Times New Roman" w:eastAsia="Times New Roman" w:hAnsi="Times New Roman" w:cs="Times New Roman"/>
          <w:sz w:val="24"/>
          <w:szCs w:val="24"/>
        </w:rPr>
        <w:t xml:space="preserve">*14 </w:t>
      </w:r>
      <w:proofErr w:type="gramStart"/>
      <w:r w:rsidRPr="00FF3066">
        <w:rPr>
          <w:rFonts w:ascii="Times New Roman" w:eastAsia="Times New Roman" w:hAnsi="Times New Roman" w:cs="Times New Roman"/>
          <w:sz w:val="24"/>
          <w:szCs w:val="24"/>
        </w:rPr>
        <w:t>Because</w:t>
      </w:r>
      <w:proofErr w:type="gramEnd"/>
      <w:r w:rsidRPr="00FF3066">
        <w:rPr>
          <w:rFonts w:ascii="Times New Roman" w:eastAsia="Times New Roman" w:hAnsi="Times New Roman" w:cs="Times New Roman"/>
          <w:sz w:val="24"/>
          <w:szCs w:val="24"/>
        </w:rPr>
        <w:t xml:space="preserve"> petitioner's claim is barred by two jurisdictional obstacles, granting certiorari before judgment in this case would not solve any jurisdictional difficulties in </w:t>
      </w:r>
      <w:r w:rsidRPr="00FF3066">
        <w:rPr>
          <w:rFonts w:ascii="Times New Roman" w:eastAsia="Times New Roman" w:hAnsi="Times New Roman" w:cs="Times New Roman"/>
          <w:i/>
          <w:iCs/>
          <w:sz w:val="24"/>
          <w:szCs w:val="24"/>
        </w:rPr>
        <w:t>King</w:t>
      </w:r>
      <w:r w:rsidRPr="00FF3066">
        <w:rPr>
          <w:rFonts w:ascii="Times New Roman" w:eastAsia="Times New Roman" w:hAnsi="Times New Roman" w:cs="Times New Roman"/>
          <w:sz w:val="24"/>
          <w:szCs w:val="24"/>
        </w:rPr>
        <w:t xml:space="preserve"> - rather, it would create new ones. Petitioner identifies no sound reason to burden this Court and the parties by injecting those threshold questions into the litigation.</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after="0" w:line="240" w:lineRule="auto"/>
        <w:jc w:val="center"/>
        <w:rPr>
          <w:rFonts w:ascii="Times New Roman" w:eastAsia="Times New Roman" w:hAnsi="Times New Roman" w:cs="Times New Roman"/>
          <w:sz w:val="24"/>
          <w:szCs w:val="24"/>
        </w:rPr>
      </w:pPr>
      <w:r w:rsidRPr="00FF3066">
        <w:rPr>
          <w:rFonts w:ascii="Times New Roman" w:eastAsia="Times New Roman" w:hAnsi="Times New Roman" w:cs="Times New Roman"/>
          <w:caps/>
          <w:sz w:val="24"/>
          <w:szCs w:val="24"/>
        </w:rPr>
        <w:t>CONCLUSION</w:t>
      </w:r>
    </w:p>
    <w:p w:rsidR="00FF3066" w:rsidRPr="00FF3066" w:rsidRDefault="00FF3066" w:rsidP="00FF3066">
      <w:pPr>
        <w:spacing w:after="0" w:line="240" w:lineRule="auto"/>
        <w:rPr>
          <w:rFonts w:ascii="Times New Roman" w:eastAsia="Times New Roman" w:hAnsi="Times New Roman" w:cs="Times New Roman"/>
          <w:sz w:val="24"/>
          <w:szCs w:val="24"/>
        </w:rPr>
      </w:pPr>
    </w:p>
    <w:p w:rsidR="00FF3066" w:rsidRPr="00FF3066" w:rsidRDefault="00FF3066" w:rsidP="00FF3066">
      <w:pPr>
        <w:spacing w:before="100" w:beforeAutospacing="1" w:after="100" w:afterAutospacing="1" w:line="240" w:lineRule="auto"/>
        <w:rPr>
          <w:rFonts w:ascii="Times New Roman" w:eastAsia="Times New Roman" w:hAnsi="Times New Roman" w:cs="Times New Roman"/>
          <w:sz w:val="24"/>
          <w:szCs w:val="24"/>
        </w:rPr>
      </w:pPr>
      <w:r w:rsidRPr="00FF3066">
        <w:rPr>
          <w:rFonts w:ascii="Times New Roman" w:eastAsia="Times New Roman" w:hAnsi="Times New Roman" w:cs="Times New Roman"/>
          <w:sz w:val="24"/>
          <w:szCs w:val="24"/>
        </w:rPr>
        <w:t>The petition for a writ of certiorari before judgment should be denied.</w:t>
      </w:r>
    </w:p>
    <w:p w:rsidR="00400A89" w:rsidRDefault="00FF3066" w:rsidP="00FF3066">
      <w:bookmarkStart w:id="45" w:name="I9aede78e8b0f11e498db8b09b4f043e0"/>
      <w:bookmarkStart w:id="46" w:name=""/>
      <w:bookmarkEnd w:id="45"/>
      <w:bookmarkEnd w:id="46"/>
      <w:r w:rsidRPr="00FF3066">
        <w:rPr>
          <w:rFonts w:ascii="Times New Roman" w:eastAsia="Times New Roman" w:hAnsi="Times New Roman" w:cs="Times New Roman"/>
          <w:sz w:val="24"/>
          <w:szCs w:val="24"/>
        </w:rPr>
        <w:t>State of Oklahoma v. Burwell</w:t>
      </w:r>
      <w:r w:rsidRPr="00FF3066">
        <w:rPr>
          <w:rFonts w:ascii="Times New Roman" w:eastAsia="Times New Roman" w:hAnsi="Times New Roman" w:cs="Times New Roman"/>
          <w:sz w:val="24"/>
          <w:szCs w:val="24"/>
        </w:rPr>
        <w:br/>
        <w:t>2014 WL 7272807 (U.S.) (Appellate Petition, Motion and Filing</w:t>
      </w:r>
      <w:proofErr w:type="gramStart"/>
      <w:r w:rsidRPr="00FF3066">
        <w:rPr>
          <w:rFonts w:ascii="Times New Roman" w:eastAsia="Times New Roman" w:hAnsi="Times New Roman" w:cs="Times New Roman"/>
          <w:sz w:val="24"/>
          <w:szCs w:val="24"/>
        </w:rPr>
        <w:t>)</w:t>
      </w:r>
      <w:proofErr w:type="gramEnd"/>
      <w:r w:rsidRPr="00FF3066">
        <w:rPr>
          <w:rFonts w:ascii="Times New Roman" w:eastAsia="Times New Roman" w:hAnsi="Times New Roman" w:cs="Times New Roman"/>
          <w:sz w:val="24"/>
          <w:szCs w:val="24"/>
        </w:rPr>
        <w:br/>
      </w:r>
      <w:r w:rsidRPr="00FF3066">
        <w:rPr>
          <w:rFonts w:ascii="Times New Roman" w:eastAsia="Times New Roman" w:hAnsi="Times New Roman" w:cs="Times New Roman"/>
          <w:sz w:val="24"/>
          <w:szCs w:val="24"/>
        </w:rPr>
        <w:br/>
        <w:t>END OF DOCUMENT</w:t>
      </w:r>
      <w:bookmarkStart w:id="47" w:name="_GoBack"/>
      <w:bookmarkEnd w:id="47"/>
    </w:p>
    <w:sectPr w:rsidR="00400A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066"/>
    <w:rsid w:val="00400A89"/>
    <w:rsid w:val="00FF3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2DDA51-FDF5-44F7-8C51-0FDE8A66B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ocumentbody">
    <w:name w:val="documentbody"/>
    <w:basedOn w:val="DefaultParagraphFont"/>
    <w:rsid w:val="00FF3066"/>
  </w:style>
  <w:style w:type="character" w:customStyle="1" w:styleId="searchterm">
    <w:name w:val="searchterm"/>
    <w:basedOn w:val="DefaultParagraphFont"/>
    <w:rsid w:val="00FF3066"/>
  </w:style>
  <w:style w:type="character" w:styleId="Hyperlink">
    <w:name w:val="Hyperlink"/>
    <w:basedOn w:val="DefaultParagraphFont"/>
    <w:uiPriority w:val="99"/>
    <w:semiHidden/>
    <w:unhideWhenUsed/>
    <w:rsid w:val="00FF3066"/>
    <w:rPr>
      <w:color w:val="0000FF"/>
      <w:u w:val="single"/>
    </w:rPr>
  </w:style>
  <w:style w:type="character" w:styleId="FollowedHyperlink">
    <w:name w:val="FollowedHyperlink"/>
    <w:basedOn w:val="DefaultParagraphFont"/>
    <w:uiPriority w:val="99"/>
    <w:semiHidden/>
    <w:unhideWhenUsed/>
    <w:rsid w:val="00FF3066"/>
    <w:rPr>
      <w:color w:val="800080"/>
      <w:u w:val="single"/>
    </w:rPr>
  </w:style>
  <w:style w:type="paragraph" w:styleId="NormalWeb">
    <w:name w:val="Normal (Web)"/>
    <w:basedOn w:val="Normal"/>
    <w:uiPriority w:val="99"/>
    <w:semiHidden/>
    <w:unhideWhenUsed/>
    <w:rsid w:val="00FF30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rpage">
    <w:name w:val="starpage"/>
    <w:basedOn w:val="DefaultParagraphFont"/>
    <w:rsid w:val="00FF30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859627">
      <w:bodyDiv w:val="1"/>
      <w:marLeft w:val="0"/>
      <w:marRight w:val="0"/>
      <w:marTop w:val="0"/>
      <w:marBottom w:val="0"/>
      <w:divBdr>
        <w:top w:val="none" w:sz="0" w:space="0" w:color="auto"/>
        <w:left w:val="none" w:sz="0" w:space="0" w:color="auto"/>
        <w:bottom w:val="none" w:sz="0" w:space="0" w:color="auto"/>
        <w:right w:val="none" w:sz="0" w:space="0" w:color="auto"/>
      </w:divBdr>
      <w:divsChild>
        <w:div w:id="79062683">
          <w:blockQuote w:val="1"/>
          <w:marLeft w:val="720"/>
          <w:marRight w:val="720"/>
          <w:marTop w:val="100"/>
          <w:marBottom w:val="100"/>
          <w:divBdr>
            <w:top w:val="none" w:sz="0" w:space="0" w:color="auto"/>
            <w:left w:val="none" w:sz="0" w:space="0" w:color="auto"/>
            <w:bottom w:val="none" w:sz="0" w:space="0" w:color="auto"/>
            <w:right w:val="none" w:sz="0" w:space="0" w:color="auto"/>
          </w:divBdr>
        </w:div>
        <w:div w:id="2133665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599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539584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044281">
          <w:blockQuote w:val="1"/>
          <w:marLeft w:val="720"/>
          <w:marRight w:val="720"/>
          <w:marTop w:val="100"/>
          <w:marBottom w:val="100"/>
          <w:divBdr>
            <w:top w:val="none" w:sz="0" w:space="0" w:color="auto"/>
            <w:left w:val="none" w:sz="0" w:space="0" w:color="auto"/>
            <w:bottom w:val="none" w:sz="0" w:space="0" w:color="auto"/>
            <w:right w:val="none" w:sz="0" w:space="0" w:color="auto"/>
          </w:divBdr>
        </w:div>
        <w:div w:id="1034579951">
          <w:blockQuote w:val="1"/>
          <w:marLeft w:val="720"/>
          <w:marRight w:val="720"/>
          <w:marTop w:val="100"/>
          <w:marBottom w:val="100"/>
          <w:divBdr>
            <w:top w:val="none" w:sz="0" w:space="0" w:color="auto"/>
            <w:left w:val="none" w:sz="0" w:space="0" w:color="auto"/>
            <w:bottom w:val="none" w:sz="0" w:space="0" w:color="auto"/>
            <w:right w:val="none" w:sz="0" w:space="0" w:color="auto"/>
          </w:divBdr>
        </w:div>
        <w:div w:id="1127577909">
          <w:blockQuote w:val="1"/>
          <w:marLeft w:val="720"/>
          <w:marRight w:val="720"/>
          <w:marTop w:val="100"/>
          <w:marBottom w:val="100"/>
          <w:divBdr>
            <w:top w:val="none" w:sz="0" w:space="0" w:color="auto"/>
            <w:left w:val="none" w:sz="0" w:space="0" w:color="auto"/>
            <w:bottom w:val="none" w:sz="0" w:space="0" w:color="auto"/>
            <w:right w:val="none" w:sz="0" w:space="0" w:color="auto"/>
          </w:divBdr>
        </w:div>
        <w:div w:id="5038581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eb2.westlaw.com/find/default.wl?mt=Westlaw&amp;db=0000708&amp;tc=-1&amp;rp=%2ffind%2fdefault.wl&amp;findtype=Y&amp;ordoc=2035137420&amp;serialnum=2031515416&amp;vr=2.0&amp;fn=_top&amp;sv=Split&amp;tf=-1&amp;pbc=03ECC1AE&amp;rs=WLW14.10" TargetMode="External"/><Relationship Id="rId117" Type="http://schemas.openxmlformats.org/officeDocument/2006/relationships/hyperlink" Target="http://web2.westlaw.com/find/default.wl?mt=Westlaw&amp;db=1000546&amp;docname=26USCAS6056&amp;rp=%2ffind%2fdefault.wl&amp;findtype=L&amp;ordoc=2035137420&amp;tc=-1&amp;vr=2.0&amp;fn=_top&amp;sv=Split&amp;tf=-1&amp;referencepositiontype=T&amp;pbc=03ECC1AE&amp;referenceposition=SP%3b8b3b0000958a4&amp;rs=WLW14.10" TargetMode="External"/><Relationship Id="rId21" Type="http://schemas.openxmlformats.org/officeDocument/2006/relationships/hyperlink" Target="http://web2.westlaw.com/find/default.wl?mt=Westlaw&amp;db=0000999&amp;tc=-1&amp;rp=%2ffind%2fdefault.wl&amp;findtype=Y&amp;ordoc=2035137420&amp;serialnum=2032543994&amp;vr=2.0&amp;fn=_top&amp;sv=Split&amp;tf=-1&amp;pbc=03ECC1AE&amp;rs=WLW14.10" TargetMode="External"/><Relationship Id="rId42"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e77c00002f3d1&amp;rs=WLW14.10" TargetMode="External"/><Relationship Id="rId47" Type="http://schemas.openxmlformats.org/officeDocument/2006/relationships/hyperlink" Target="http://web2.westlaw.com/find/default.wl?mt=Westlaw&amp;db=1000546&amp;docname=26USCAS5000A&amp;rp=%2ffind%2fdefault.wl&amp;findtype=L&amp;ordoc=2035137420&amp;tc=-1&amp;vr=2.0&amp;fn=_top&amp;sv=Split&amp;tf=-1&amp;referencepositiontype=T&amp;pbc=03ECC1AE&amp;referenceposition=SP%3ba83b000018c76&amp;rs=WLW14.10" TargetMode="External"/><Relationship Id="rId63" Type="http://schemas.openxmlformats.org/officeDocument/2006/relationships/hyperlink" Target="http://web2.westlaw.com/find/default.wl?mt=Westlaw&amp;db=184736&amp;docname=UUID%28I31655870A4-A511E1B11AC-042F6CE38D3%29&amp;rp=%2ffind%2fdefault.wl&amp;findtype=l&amp;ordoc=2035137420&amp;tc=-1&amp;vr=2.0&amp;fn=_top&amp;sv=Split&amp;tf=-1&amp;referencepositiontype=S&amp;pbc=03ECC1AE&amp;referenceposition=30377&amp;rs=WLW14.10" TargetMode="External"/><Relationship Id="rId68" Type="http://schemas.openxmlformats.org/officeDocument/2006/relationships/hyperlink" Target="http://web2.westlaw.com/find/default.wl?mt=Westlaw&amp;db=1077005&amp;docname=UUID%28I6CC1A77037-5611DF8B35E-28066BB2A1E%29&amp;rp=%2ffind%2fdefault.wl&amp;findtype=l&amp;ordoc=2035137420&amp;tc=-1&amp;vr=2.0&amp;fn=_top&amp;sv=Split&amp;tf=-1&amp;pbc=03ECC1AE&amp;rs=WLW14.10" TargetMode="External"/><Relationship Id="rId84"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89"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112" Type="http://schemas.openxmlformats.org/officeDocument/2006/relationships/hyperlink" Target="http://web2.westlaw.com/find/default.wl?mt=Westlaw&amp;db=0000999&amp;tc=-1&amp;rp=%2ffind%2fdefault.wl&amp;findtype=Y&amp;ordoc=2035137420&amp;serialnum=2033885944&amp;vr=2.0&amp;fn=_top&amp;sv=Split&amp;tf=-1&amp;pbc=03ECC1AE&amp;rs=WLW14.10" TargetMode="External"/><Relationship Id="rId133" Type="http://schemas.openxmlformats.org/officeDocument/2006/relationships/hyperlink" Target="http://web2.westlaw.com/find/default.wl?mt=Westlaw&amp;db=0000708&amp;tc=-1&amp;rp=%2ffind%2fdefault.wl&amp;findtype=Y&amp;ordoc=2035137420&amp;serialnum=2027995535&amp;vr=2.0&amp;fn=_top&amp;sv=Split&amp;tf=-1&amp;referencepositiontype=S&amp;pbc=03ECC1AE&amp;referenceposition=2583&amp;rs=WLW14.10" TargetMode="External"/><Relationship Id="rId138"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54"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59"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70" Type="http://schemas.openxmlformats.org/officeDocument/2006/relationships/theme" Target="theme/theme1.xml"/><Relationship Id="rId16" Type="http://schemas.openxmlformats.org/officeDocument/2006/relationships/hyperlink" Target="http://web2.westlaw.com/find/default.wl?mt=Westlaw&amp;db=184736&amp;docname=UUID%28I31655870A4-A511E1B11AC-042F6CE38D3%29&amp;rp=%2ffind%2fdefault.wl&amp;findtype=l&amp;ordoc=2035137420&amp;tc=-1&amp;vr=2.0&amp;fn=_top&amp;sv=Split&amp;tf=-1&amp;referencepositiontype=S&amp;pbc=03ECC1AE&amp;referenceposition=30377&amp;rs=WLW14.10" TargetMode="External"/><Relationship Id="rId107"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11"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1eca000045f07&amp;rs=WLW14.10" TargetMode="External"/><Relationship Id="rId32" Type="http://schemas.openxmlformats.org/officeDocument/2006/relationships/hyperlink" Target="http://web2.westlaw.com/find/default.wl?mt=Westlaw&amp;db=1077005&amp;docname=UUID%28I6CC1A77037-5611DF8B35E-28066BB2A1E%29&amp;rp=%2ffind%2fdefault.wl&amp;findtype=l&amp;ordoc=2035137420&amp;tc=-1&amp;vr=2.0&amp;fn=_top&amp;sv=Split&amp;tf=-1&amp;pbc=03ECC1AE&amp;rs=WLW14.10" TargetMode="External"/><Relationship Id="rId37"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73390000a9020&amp;rs=WLW14.10" TargetMode="External"/><Relationship Id="rId53" Type="http://schemas.openxmlformats.org/officeDocument/2006/relationships/hyperlink" Target="http://web2.westlaw.com/find/default.wl?mt=Westlaw&amp;db=1000546&amp;docname=42USCAS1397EE&amp;rp=%2ffind%2fdefault.wl&amp;findtype=L&amp;ordoc=2035137420&amp;tc=-1&amp;vr=2.0&amp;fn=_top&amp;sv=Split&amp;tf=-1&amp;referencepositiontype=T&amp;pbc=03ECC1AE&amp;referenceposition=SP%3b88fb000007b85&amp;rs=WLW14.10" TargetMode="External"/><Relationship Id="rId58" Type="http://schemas.openxmlformats.org/officeDocument/2006/relationships/hyperlink" Target="http://web2.westlaw.com/find/default.wl?mt=Westlaw&amp;db=1000546&amp;docname=42USCAS18032&amp;rp=%2ffind%2fdefault.wl&amp;findtype=L&amp;ordoc=2035137420&amp;tc=-1&amp;vr=2.0&amp;fn=_top&amp;sv=Split&amp;tf=-1&amp;referencepositiontype=T&amp;pbc=03ECC1AE&amp;referenceposition=SP%3b85d10000e5e07&amp;rs=WLW14.10" TargetMode="External"/><Relationship Id="rId74" Type="http://schemas.openxmlformats.org/officeDocument/2006/relationships/hyperlink" Target="http://web2.westlaw.com/find/default.wl?mt=Westlaw&amp;db=1000546&amp;docname=42USCAS18032&amp;rp=%2ffind%2fdefault.wl&amp;findtype=L&amp;ordoc=2035137420&amp;tc=-1&amp;vr=2.0&amp;fn=_top&amp;sv=Split&amp;tf=-1&amp;referencepositiontype=T&amp;pbc=03ECC1AE&amp;referenceposition=SP%3b85d10000e5e07&amp;rs=WLW14.10" TargetMode="External"/><Relationship Id="rId79"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8b3b0000958a4&amp;rs=WLW14.10" TargetMode="External"/><Relationship Id="rId102"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23" Type="http://schemas.openxmlformats.org/officeDocument/2006/relationships/hyperlink" Target="http://web2.westlaw.com/find/default.wl?mt=Westlaw&amp;db=0000708&amp;tc=-1&amp;rp=%2ffind%2fdefault.wl&amp;findtype=Y&amp;ordoc=2035137420&amp;serialnum=2027995535&amp;vr=2.0&amp;fn=_top&amp;sv=Split&amp;tf=-1&amp;referencepositiontype=S&amp;pbc=03ECC1AE&amp;referenceposition=2582&amp;rs=WLW14.10" TargetMode="External"/><Relationship Id="rId128"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144"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49" Type="http://schemas.openxmlformats.org/officeDocument/2006/relationships/hyperlink" Target="http://web2.westlaw.com/find/default.wl?mt=Westlaw&amp;db=0000506&amp;tc=-1&amp;rp=%2ffind%2fdefault.wl&amp;findtype=Y&amp;ordoc=2035137420&amp;serialnum=2030972222&amp;vr=2.0&amp;fn=_top&amp;sv=Split&amp;tf=-1&amp;referencepositiontype=S&amp;pbc=03ECC1AE&amp;referenceposition=88&amp;rs=WLW14.10" TargetMode="External"/><Relationship Id="rId5" Type="http://schemas.openxmlformats.org/officeDocument/2006/relationships/hyperlink" Target="http://web2.westlaw.com/find/default.wl?mt=Westlaw&amp;db=PROFILER-WLD&amp;docname=0210065101&amp;rp=%2ffind%2fdefault.wl&amp;findtype=h&amp;ordoc=2035137420&amp;tc=-1&amp;vr=2.0&amp;fn=_top&amp;sv=Split&amp;tf=-1&amp;pbc=03ECC1AE&amp;rs=WLW14.10" TargetMode="External"/><Relationship Id="rId90" Type="http://schemas.openxmlformats.org/officeDocument/2006/relationships/hyperlink" Target="http://web2.westlaw.com/find/default.wl?mt=Westlaw&amp;db=184736&amp;docname=UUID%28I31655870A4-A511E1B11AC-042F6CE38D3%29&amp;rp=%2ffind%2fdefault.wl&amp;findtype=l&amp;ordoc=2035137420&amp;tc=-1&amp;vr=2.0&amp;fn=_top&amp;sv=Split&amp;tf=-1&amp;referencepositiontype=S&amp;pbc=03ECC1AE&amp;referenceposition=30377&amp;rs=WLW14.10" TargetMode="External"/><Relationship Id="rId95"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60" Type="http://schemas.openxmlformats.org/officeDocument/2006/relationships/hyperlink" Target="http://web2.westlaw.com/find/default.wl?mt=Westlaw&amp;db=0000506&amp;tc=-1&amp;rp=%2ffind%2fdefault.wl&amp;findtype=Y&amp;ordoc=2035137420&amp;serialnum=2030972222&amp;vr=2.0&amp;fn=_top&amp;sv=Split&amp;tf=-1&amp;referencepositiontype=S&amp;pbc=03ECC1AE&amp;referenceposition=88&amp;rs=WLW14.10" TargetMode="External"/><Relationship Id="rId165"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22" Type="http://schemas.openxmlformats.org/officeDocument/2006/relationships/hyperlink" Target="http://web2.westlaw.com/find/default.wl?mt=Westlaw&amp;db=0000506&amp;tc=-1&amp;rp=%2ffind%2fdefault.wl&amp;findtype=Y&amp;ordoc=2035137420&amp;serialnum=2033885944&amp;vr=2.0&amp;fn=_top&amp;sv=Split&amp;tf=-1&amp;pbc=03ECC1AE&amp;rs=WLW14.10" TargetMode="External"/><Relationship Id="rId27" Type="http://schemas.openxmlformats.org/officeDocument/2006/relationships/hyperlink" Target="http://web2.westlaw.com/find/default.wl?mt=Westlaw&amp;db=0000780&amp;tc=-1&amp;rp=%2ffind%2fdefault.wl&amp;findtype=Y&amp;ordoc=2035137420&amp;serialnum=1923120352&amp;vr=2.0&amp;fn=_top&amp;sv=Split&amp;tf=-1&amp;pbc=03ECC1AE&amp;rs=WLW14.10" TargetMode="External"/><Relationship Id="rId43"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2cf2000076010&amp;rs=WLW14.10" TargetMode="External"/><Relationship Id="rId48" Type="http://schemas.openxmlformats.org/officeDocument/2006/relationships/hyperlink" Target="http://web2.westlaw.com/find/default.wl?mt=Westlaw&amp;db=1000546&amp;docname=26USCAS5000A&amp;rp=%2ffind%2fdefault.wl&amp;findtype=L&amp;ordoc=2035137420&amp;tc=-1&amp;vr=2.0&amp;fn=_top&amp;sv=Split&amp;tf=-1&amp;referencepositiontype=T&amp;pbc=03ECC1AE&amp;referenceposition=SP%3b16f4000091d86&amp;rs=WLW14.10" TargetMode="External"/><Relationship Id="rId64" Type="http://schemas.openxmlformats.org/officeDocument/2006/relationships/hyperlink" Target="http://web2.westlaw.com/find/default.wl?mt=Westlaw&amp;db=0000999&amp;tc=-1&amp;rp=%2ffind%2fdefault.wl&amp;findtype=Y&amp;ordoc=2035137420&amp;serialnum=2034420283&amp;vr=2.0&amp;fn=_top&amp;sv=Split&amp;tf=-1&amp;pbc=03ECC1AE&amp;rs=WLW14.10" TargetMode="External"/><Relationship Id="rId69" Type="http://schemas.openxmlformats.org/officeDocument/2006/relationships/hyperlink" Target="http://web2.westlaw.com/find/default.wl?mt=Westlaw&amp;db=0000506&amp;tc=-1&amp;rp=%2ffind%2fdefault.wl&amp;findtype=Y&amp;ordoc=2035137420&amp;serialnum=2033886282&amp;vr=2.0&amp;fn=_top&amp;sv=Split&amp;tf=-1&amp;referencepositiontype=S&amp;pbc=03ECC1AE&amp;referenceposition=374&amp;rs=WLW14.10" TargetMode="External"/><Relationship Id="rId113" Type="http://schemas.openxmlformats.org/officeDocument/2006/relationships/hyperlink" Target="http://web2.westlaw.com/find/default.wl?mt=Westlaw&amp;db=0000780&amp;tc=-1&amp;rp=%2ffind%2fdefault.wl&amp;findtype=Y&amp;ordoc=2035137420&amp;serialnum=2022339670&amp;vr=2.0&amp;fn=_top&amp;sv=Split&amp;tf=-1&amp;referencepositiontype=S&amp;pbc=03ECC1AE&amp;referenceposition=149&amp;rs=WLW14.10" TargetMode="External"/><Relationship Id="rId118" Type="http://schemas.openxmlformats.org/officeDocument/2006/relationships/hyperlink" Target="http://web2.westlaw.com/find/default.wl?mt=Westlaw&amp;db=1000546&amp;docname=26USCAS6056&amp;rp=%2ffind%2fdefault.wl&amp;findtype=L&amp;ordoc=2035137420&amp;tc=-1&amp;vr=2.0&amp;fn=_top&amp;sv=Split&amp;tf=-1&amp;pbc=03ECC1AE&amp;rs=WLW14.10" TargetMode="External"/><Relationship Id="rId134"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39"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80"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73390000a9020&amp;rs=WLW14.10" TargetMode="External"/><Relationship Id="rId85"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d3820000d2db6&amp;rs=WLW14.10" TargetMode="External"/><Relationship Id="rId150" Type="http://schemas.openxmlformats.org/officeDocument/2006/relationships/hyperlink" Target="http://web2.westlaw.com/find/default.wl?mt=Westlaw&amp;db=0000999&amp;tc=-1&amp;rp=%2ffind%2fdefault.wl&amp;findtype=Y&amp;ordoc=2035137420&amp;serialnum=2032543994&amp;vr=2.0&amp;fn=_top&amp;sv=Split&amp;tf=-1&amp;pbc=03ECC1AE&amp;rs=WLW14.10" TargetMode="External"/><Relationship Id="rId155" Type="http://schemas.openxmlformats.org/officeDocument/2006/relationships/hyperlink" Target="http://web2.westlaw.com/find/default.wl?mt=Westlaw&amp;db=1000546&amp;docname=26USCAS7421&amp;rp=%2ffind%2fdefault.wl&amp;findtype=L&amp;ordoc=2035137420&amp;tc=-1&amp;vr=2.0&amp;fn=_top&amp;sv=Split&amp;tf=-1&amp;referencepositiontype=T&amp;pbc=03ECC1AE&amp;referenceposition=SP%3b8b3b0000958a4&amp;rs=WLW14.10" TargetMode="External"/><Relationship Id="rId12"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d3820000d2db6&amp;rs=WLW14.10" TargetMode="External"/><Relationship Id="rId17"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33"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38"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d3820000d2db6&amp;rs=WLW14.10" TargetMode="External"/><Relationship Id="rId59" Type="http://schemas.openxmlformats.org/officeDocument/2006/relationships/hyperlink" Target="http://web2.westlaw.com/find/default.wl?mt=Westlaw&amp;db=1000546&amp;docname=42USCAS18041&amp;rp=%2ffind%2fdefault.wl&amp;findtype=L&amp;ordoc=2035137420&amp;tc=-1&amp;vr=2.0&amp;fn=_top&amp;sv=Split&amp;tf=-1&amp;referencepositiontype=T&amp;pbc=03ECC1AE&amp;referenceposition=SP%3b10c0000001331&amp;rs=WLW14.10" TargetMode="External"/><Relationship Id="rId103"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08" Type="http://schemas.openxmlformats.org/officeDocument/2006/relationships/hyperlink" Target="http://web2.westlaw.com/find/default.wl?mt=Westlaw&amp;db=0000506&amp;tc=-1&amp;rp=%2ffind%2fdefault.wl&amp;findtype=Y&amp;ordoc=2035137420&amp;serialnum=2033885944&amp;vr=2.0&amp;fn=_top&amp;sv=Split&amp;tf=-1&amp;referencepositiontype=S&amp;pbc=03ECC1AE&amp;referenceposition=412&amp;rs=WLW14.10" TargetMode="External"/><Relationship Id="rId124" Type="http://schemas.openxmlformats.org/officeDocument/2006/relationships/hyperlink" Target="http://web2.westlaw.com/find/default.wl?mt=Westlaw&amp;db=0000780&amp;tc=-1&amp;rp=%2ffind%2fdefault.wl&amp;findtype=Y&amp;ordoc=2035137420&amp;serialnum=1962127628&amp;vr=2.0&amp;fn=_top&amp;sv=Split&amp;tf=-1&amp;referencepositiontype=S&amp;pbc=03ECC1AE&amp;referenceposition=5&amp;rs=WLW14.10" TargetMode="External"/><Relationship Id="rId129" Type="http://schemas.openxmlformats.org/officeDocument/2006/relationships/hyperlink" Target="http://web2.westlaw.com/find/default.wl?mt=Westlaw&amp;db=1000546&amp;docname=26USCAS5000A&amp;rp=%2ffind%2fdefault.wl&amp;findtype=L&amp;ordoc=2035137420&amp;tc=-1&amp;vr=2.0&amp;fn=_top&amp;sv=Split&amp;tf=-1&amp;referencepositiontype=T&amp;pbc=03ECC1AE&amp;referenceposition=SP%3ba83b000018c76&amp;rs=WLW14.10" TargetMode="External"/><Relationship Id="rId54" Type="http://schemas.openxmlformats.org/officeDocument/2006/relationships/hyperlink" Target="http://web2.westlaw.com/find/default.wl?mt=Westlaw&amp;db=1000546&amp;docname=42USCAS1397EE&amp;rp=%2ffind%2fdefault.wl&amp;findtype=L&amp;ordoc=2035137420&amp;tc=-1&amp;vr=2.0&amp;fn=_top&amp;sv=Split&amp;tf=-1&amp;referencepositiontype=T&amp;pbc=03ECC1AE&amp;referenceposition=SP%3bac3900009ce97&amp;rs=WLW14.10" TargetMode="External"/><Relationship Id="rId70" Type="http://schemas.openxmlformats.org/officeDocument/2006/relationships/hyperlink" Target="http://web2.westlaw.com/find/default.wl?mt=Westlaw&amp;db=1077005&amp;docname=UUID%28I54B465A041-9711DF93ADE-62B13BD9BAB%29&amp;rp=%2ffind%2fdefault.wl&amp;findtype=l&amp;ordoc=2035137420&amp;tc=-1&amp;vr=2.0&amp;fn=_top&amp;sv=Split&amp;tf=-1&amp;pbc=03ECC1AE&amp;rs=WLW14.10" TargetMode="External"/><Relationship Id="rId75" Type="http://schemas.openxmlformats.org/officeDocument/2006/relationships/hyperlink" Target="http://web2.westlaw.com/find/default.wl?mt=Westlaw&amp;db=1000546&amp;docname=42USCAS18031&amp;rp=%2ffind%2fdefault.wl&amp;findtype=L&amp;ordoc=2035137420&amp;tc=-1&amp;vr=2.0&amp;fn=_top&amp;sv=Split&amp;tf=-1&amp;referencepositiontype=T&amp;pbc=03ECC1AE&amp;referenceposition=SP%3bf570000012452&amp;rs=WLW14.10" TargetMode="External"/><Relationship Id="rId91"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96" Type="http://schemas.openxmlformats.org/officeDocument/2006/relationships/hyperlink" Target="http://web2.westlaw.com/find/default.wl?mt=Westlaw&amp;db=184736&amp;docname=UUID%28I31655870A4-A511E1B11AC-042F6CE38D3%29&amp;rp=%2ffind%2fdefault.wl&amp;findtype=l&amp;ordoc=2035137420&amp;tc=-1&amp;vr=2.0&amp;fn=_top&amp;sv=Split&amp;tf=-1&amp;referencepositiontype=S&amp;pbc=03ECC1AE&amp;referenceposition=30377&amp;rs=WLW14.10" TargetMode="External"/><Relationship Id="rId140"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2cf2000076010&amp;rs=WLW14.10" TargetMode="External"/><Relationship Id="rId145" Type="http://schemas.openxmlformats.org/officeDocument/2006/relationships/hyperlink" Target="http://web2.westlaw.com/find/default.wl?mt=Westlaw&amp;db=0000708&amp;tc=-1&amp;rp=%2ffind%2fdefault.wl&amp;findtype=Y&amp;ordoc=2035137420&amp;serialnum=2027995535&amp;vr=2.0&amp;fn=_top&amp;sv=Split&amp;tf=-1&amp;referencepositiontype=S&amp;pbc=03ECC1AE&amp;referenceposition=2582&amp;rs=WLW14.10" TargetMode="External"/><Relationship Id="rId161"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166"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 Type="http://schemas.openxmlformats.org/officeDocument/2006/relationships/styles" Target="styles.xml"/><Relationship Id="rId6" Type="http://schemas.openxmlformats.org/officeDocument/2006/relationships/hyperlink" Target="http://web2.westlaw.com/find/default.wl?mt=Westlaw&amp;db=PROFILER-WLD&amp;docname=0363139101&amp;rp=%2ffind%2fdefault.wl&amp;findtype=h&amp;ordoc=2035137420&amp;tc=-1&amp;vr=2.0&amp;fn=_top&amp;sv=Split&amp;tf=-1&amp;pbc=03ECC1AE&amp;rs=WLW14.10" TargetMode="External"/><Relationship Id="rId15" Type="http://schemas.openxmlformats.org/officeDocument/2006/relationships/hyperlink" Target="http://web2.westlaw.com/find/default.wl?mt=Westlaw&amp;db=1000547&amp;docname=26CFRS1.36B-2&amp;rp=%2ffind%2fdefault.wl&amp;findtype=L&amp;ordoc=2035137420&amp;tc=-1&amp;vr=2.0&amp;fn=_top&amp;sv=Split&amp;tf=-1&amp;referencepositiontype=T&amp;pbc=03ECC1AE&amp;referenceposition=SP%3b8b3b0000958a4&amp;rs=WLW14.10" TargetMode="External"/><Relationship Id="rId23" Type="http://schemas.openxmlformats.org/officeDocument/2006/relationships/hyperlink" Target="http://web2.westlaw.com/find/default.wl?mt=Westlaw&amp;db=0000999&amp;tc=-1&amp;rp=%2ffind%2fdefault.wl&amp;findtype=Y&amp;ordoc=2035137420&amp;serialnum=2034337488&amp;vr=2.0&amp;fn=_top&amp;sv=Split&amp;tf=-1&amp;pbc=03ECC1AE&amp;rs=WLW14.10" TargetMode="External"/><Relationship Id="rId28" Type="http://schemas.openxmlformats.org/officeDocument/2006/relationships/hyperlink" Target="http://web2.westlaw.com/find/default.wl?mt=Westlaw&amp;db=0000780&amp;tc=-1&amp;rp=%2ffind%2fdefault.wl&amp;findtype=Y&amp;ordoc=2035137420&amp;serialnum=2022339670&amp;vr=2.0&amp;fn=_top&amp;sv=Split&amp;tf=-1&amp;pbc=03ECC1AE&amp;rs=WLW14.10" TargetMode="External"/><Relationship Id="rId36"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1eca000045f07&amp;rs=WLW14.10" TargetMode="External"/><Relationship Id="rId49" Type="http://schemas.openxmlformats.org/officeDocument/2006/relationships/hyperlink" Target="http://web2.westlaw.com/find/default.wl?mt=Westlaw&amp;db=1000546&amp;docname=26USCAS5000A&amp;rp=%2ffind%2fdefault.wl&amp;findtype=L&amp;ordoc=2035137420&amp;tc=-1&amp;vr=2.0&amp;fn=_top&amp;sv=Split&amp;tf=-1&amp;referencepositiontype=T&amp;pbc=03ECC1AE&amp;referenceposition=SP%3b7952000083371&amp;rs=WLW14.10" TargetMode="External"/><Relationship Id="rId57" Type="http://schemas.openxmlformats.org/officeDocument/2006/relationships/hyperlink" Target="http://web2.westlaw.com/find/default.wl?mt=Westlaw&amp;db=1000546&amp;docname=42USCAS18031&amp;rp=%2ffind%2fdefault.wl&amp;findtype=L&amp;ordoc=2035137420&amp;tc=-1&amp;vr=2.0&amp;fn=_top&amp;sv=Split&amp;tf=-1&amp;referencepositiontype=T&amp;pbc=03ECC1AE&amp;referenceposition=SP%3bf570000012452&amp;rs=WLW14.10" TargetMode="External"/><Relationship Id="rId106" Type="http://schemas.openxmlformats.org/officeDocument/2006/relationships/hyperlink" Target="http://web2.westlaw.com/find/default.wl?mt=Westlaw&amp;db=0000506&amp;tc=-1&amp;rp=%2ffind%2fdefault.wl&amp;findtype=Y&amp;ordoc=2035137420&amp;serialnum=2033886282&amp;vr=2.0&amp;fn=_top&amp;sv=Split&amp;tf=-1&amp;referencepositiontype=S&amp;pbc=03ECC1AE&amp;referenceposition=375&amp;rs=WLW14.10" TargetMode="External"/><Relationship Id="rId114"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19" Type="http://schemas.openxmlformats.org/officeDocument/2006/relationships/hyperlink" Target="http://web2.westlaw.com/find/default.wl?mt=Westlaw&amp;db=1000547&amp;docname=26CFRS301.6056-1&amp;rp=%2ffind%2fdefault.wl&amp;findtype=L&amp;ordoc=2035137420&amp;tc=-1&amp;vr=2.0&amp;fn=_top&amp;sv=Split&amp;tf=-1&amp;pbc=03ECC1AE&amp;rs=WLW14.10" TargetMode="External"/><Relationship Id="rId127" Type="http://schemas.openxmlformats.org/officeDocument/2006/relationships/hyperlink" Target="http://web2.westlaw.com/find/default.wl?mt=Westlaw&amp;db=0000708&amp;tc=-1&amp;rp=%2ffind%2fdefault.wl&amp;findtype=Y&amp;ordoc=2035137420&amp;serialnum=2027995535&amp;vr=2.0&amp;fn=_top&amp;sv=Split&amp;tf=-1&amp;referencepositiontype=S&amp;pbc=03ECC1AE&amp;referenceposition=2582&amp;rs=WLW14.10" TargetMode="External"/><Relationship Id="rId10" Type="http://schemas.openxmlformats.org/officeDocument/2006/relationships/hyperlink" Target="http://web2.westlaw.com/find/default.wl?mt=Westlaw&amp;db=1000546&amp;docname=42USCAS18031&amp;rp=%2ffind%2fdefault.wl&amp;findtype=L&amp;ordoc=2035137420&amp;tc=-1&amp;vr=2.0&amp;fn=_top&amp;sv=Split&amp;tf=-1&amp;pbc=03ECC1AE&amp;rs=WLW14.10" TargetMode="External"/><Relationship Id="rId31" Type="http://schemas.openxmlformats.org/officeDocument/2006/relationships/hyperlink" Target="http://web2.westlaw.com/find/default.wl?mt=Westlaw&amp;db=1077005&amp;docname=UUID%28I54B465A041-9711DF93ADE-62B13BD9BAB%29&amp;rp=%2ffind%2fdefault.wl&amp;findtype=l&amp;ordoc=2035137420&amp;tc=-1&amp;vr=2.0&amp;fn=_top&amp;sv=Split&amp;tf=-1&amp;pbc=03ECC1AE&amp;rs=WLW14.10" TargetMode="External"/><Relationship Id="rId44"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5ba1000067d06&amp;rs=WLW14.10" TargetMode="External"/><Relationship Id="rId52" Type="http://schemas.openxmlformats.org/officeDocument/2006/relationships/hyperlink" Target="http://web2.westlaw.com/find/default.wl?mt=Westlaw&amp;db=1000546&amp;docname=42USCAS1396W-3&amp;rp=%2ffind%2fdefault.wl&amp;findtype=L&amp;ordoc=2035137420&amp;tc=-1&amp;vr=2.0&amp;fn=_top&amp;sv=Split&amp;tf=-1&amp;referencepositiontype=T&amp;pbc=03ECC1AE&amp;referenceposition=SP%3ba83b000018c76&amp;rs=WLW14.10" TargetMode="External"/><Relationship Id="rId60" Type="http://schemas.openxmlformats.org/officeDocument/2006/relationships/hyperlink" Target="http://web2.westlaw.com/find/default.wl?mt=Westlaw&amp;db=1000546&amp;docname=42USCAS18081&amp;rp=%2ffind%2fdefault.wl&amp;findtype=L&amp;ordoc=2035137420&amp;tc=-1&amp;vr=2.0&amp;fn=_top&amp;sv=Split&amp;tf=-1&amp;referencepositiontype=T&amp;pbc=03ECC1AE&amp;referenceposition=SP%3b0fd90000f79e4&amp;rs=WLW14.10" TargetMode="External"/><Relationship Id="rId65" Type="http://schemas.openxmlformats.org/officeDocument/2006/relationships/hyperlink" Target="http://web2.westlaw.com/find/default.wl?mt=Westlaw&amp;db=0000999&amp;tc=-1&amp;rp=%2ffind%2fdefault.wl&amp;findtype=Y&amp;ordoc=2035137420&amp;serialnum=2031273062&amp;vr=2.0&amp;fn=_top&amp;sv=Split&amp;tf=-1&amp;pbc=03ECC1AE&amp;rs=WLW14.10" TargetMode="External"/><Relationship Id="rId73" Type="http://schemas.openxmlformats.org/officeDocument/2006/relationships/hyperlink" Target="http://web2.westlaw.com/find/default.wl?mt=Westlaw&amp;db=1000547&amp;docname=45CFRS155.20&amp;rp=%2ffind%2fdefault.wl&amp;findtype=L&amp;ordoc=2035137420&amp;tc=-1&amp;vr=2.0&amp;fn=_top&amp;sv=Split&amp;tf=-1&amp;pbc=03ECC1AE&amp;rs=WLW14.10" TargetMode="External"/><Relationship Id="rId78"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81"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a83b000018c76&amp;rs=WLW14.10" TargetMode="External"/><Relationship Id="rId86" Type="http://schemas.openxmlformats.org/officeDocument/2006/relationships/hyperlink" Target="http://web2.westlaw.com/find/default.wl?mt=Westlaw&amp;db=1000547&amp;docname=45CFRS155.20&amp;rp=%2ffind%2fdefault.wl&amp;findtype=L&amp;ordoc=2035137420&amp;tc=-1&amp;vr=2.0&amp;fn=_top&amp;sv=Split&amp;tf=-1&amp;pbc=03ECC1AE&amp;rs=WLW14.10" TargetMode="External"/><Relationship Id="rId94"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99"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01" Type="http://schemas.openxmlformats.org/officeDocument/2006/relationships/hyperlink" Target="http://web2.westlaw.com/find/default.wl?mt=Westlaw&amp;db=0000708&amp;tc=-1&amp;rp=%2ffind%2fdefault.wl&amp;findtype=Y&amp;ordoc=2035137420&amp;serialnum=2031515416&amp;vr=2.0&amp;fn=_top&amp;sv=Split&amp;tf=-1&amp;pbc=03ECC1AE&amp;rs=WLW14.10" TargetMode="External"/><Relationship Id="rId122" Type="http://schemas.openxmlformats.org/officeDocument/2006/relationships/hyperlink" Target="http://web2.westlaw.com/find/default.wl?mt=Westlaw&amp;db=1000546&amp;docname=26USCAS7421&amp;rp=%2ffind%2fdefault.wl&amp;findtype=L&amp;ordoc=2035137420&amp;tc=-1&amp;vr=2.0&amp;fn=_top&amp;sv=Split&amp;tf=-1&amp;referencepositiontype=T&amp;pbc=03ECC1AE&amp;referenceposition=SP%3b8b3b0000958a4&amp;rs=WLW14.10" TargetMode="External"/><Relationship Id="rId130" Type="http://schemas.openxmlformats.org/officeDocument/2006/relationships/hyperlink" Target="http://web2.westlaw.com/find/default.wl?mt=Westlaw&amp;db=1000546&amp;docname=26USCAS5000A&amp;rp=%2ffind%2fdefault.wl&amp;findtype=L&amp;ordoc=2035137420&amp;tc=-1&amp;vr=2.0&amp;fn=_top&amp;sv=Split&amp;tf=-1&amp;referencepositiontype=T&amp;pbc=03ECC1AE&amp;referenceposition=SP%3b7952000083371&amp;rs=WLW14.10" TargetMode="External"/><Relationship Id="rId135"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143" Type="http://schemas.openxmlformats.org/officeDocument/2006/relationships/hyperlink" Target="http://web2.westlaw.com/find/default.wl?mt=Westlaw&amp;db=1000546&amp;docname=42USCAS18081&amp;rp=%2ffind%2fdefault.wl&amp;findtype=L&amp;ordoc=2035137420&amp;tc=-1&amp;vr=2.0&amp;fn=_top&amp;sv=Split&amp;tf=-1&amp;referencepositiontype=T&amp;pbc=03ECC1AE&amp;referenceposition=SP%3b0fd90000f79e4&amp;rs=WLW14.10" TargetMode="External"/><Relationship Id="rId148"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51" Type="http://schemas.openxmlformats.org/officeDocument/2006/relationships/hyperlink" Target="http://web2.westlaw.com/find/default.wl?mt=Westlaw&amp;db=0000506&amp;tc=-1&amp;rp=%2ffind%2fdefault.wl&amp;findtype=Y&amp;ordoc=2035137420&amp;serialnum=2033885944&amp;vr=2.0&amp;fn=_top&amp;sv=Split&amp;tf=-1&amp;pbc=03ECC1AE&amp;rs=WLW14.10" TargetMode="External"/><Relationship Id="rId156"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64"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5ba1000067d06&amp;rs=WLW14.10" TargetMode="External"/><Relationship Id="rId169" Type="http://schemas.openxmlformats.org/officeDocument/2006/relationships/fontTable" Target="fontTable.xml"/><Relationship Id="rId4" Type="http://schemas.openxmlformats.org/officeDocument/2006/relationships/hyperlink" Target="http://web2.westlaw.com/find/default.wl?mt=Westlaw&amp;db=PROFILER-WLD&amp;docname=0137399201&amp;rp=%2ffind%2fdefault.wl&amp;findtype=h&amp;ordoc=2035137420&amp;tc=-1&amp;vr=2.0&amp;fn=_top&amp;sv=Split&amp;tf=-1&amp;pbc=03ECC1AE&amp;rs=WLW14.10" TargetMode="External"/><Relationship Id="rId9" Type="http://schemas.openxmlformats.org/officeDocument/2006/relationships/hyperlink" Target="http://web2.westlaw.com/find/default.wl?mt=Westlaw&amp;db=1000546&amp;docname=42USCAS18041&amp;rp=%2ffind%2fdefault.wl&amp;findtype=L&amp;ordoc=2035137420&amp;tc=-1&amp;vr=2.0&amp;fn=_top&amp;sv=Split&amp;tf=-1&amp;referencepositiontype=T&amp;pbc=03ECC1AE&amp;referenceposition=SP%3b10c0000001331&amp;rs=WLW14.10" TargetMode="External"/><Relationship Id="rId13"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18" Type="http://schemas.openxmlformats.org/officeDocument/2006/relationships/hyperlink" Target="http://web2.westlaw.com/find/default.wl?mt=Westlaw&amp;db=0000780&amp;tc=-1&amp;rp=%2ffind%2fdefault.wl&amp;findtype=Y&amp;ordoc=2035137420&amp;serialnum=1962127628&amp;vr=2.0&amp;fn=_top&amp;sv=Split&amp;tf=-1&amp;pbc=03ECC1AE&amp;rs=WLW14.10" TargetMode="External"/><Relationship Id="rId39" Type="http://schemas.openxmlformats.org/officeDocument/2006/relationships/hyperlink" Target="http://web2.westlaw.com/find/default.wl?mt=Westlaw&amp;db=1000546&amp;docname=26USCAS275&amp;rp=%2ffind%2fdefault.wl&amp;findtype=L&amp;ordoc=2035137420&amp;tc=-1&amp;vr=2.0&amp;fn=_top&amp;sv=Split&amp;tf=-1&amp;referencepositiontype=T&amp;pbc=03ECC1AE&amp;referenceposition=SP%3b1496000051ed7&amp;rs=WLW14.10" TargetMode="External"/><Relationship Id="rId109" Type="http://schemas.openxmlformats.org/officeDocument/2006/relationships/hyperlink" Target="http://web2.westlaw.com/find/default.wl?mt=Westlaw&amp;db=0000999&amp;tc=-1&amp;rp=%2ffind%2fdefault.wl&amp;findtype=Y&amp;ordoc=2035137420&amp;serialnum=2034337488&amp;vr=2.0&amp;fn=_top&amp;sv=Split&amp;tf=-1&amp;pbc=03ECC1AE&amp;rs=WLW14.10" TargetMode="External"/><Relationship Id="rId34"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8b3b0000958a4&amp;rs=WLW14.10" TargetMode="External"/><Relationship Id="rId50" Type="http://schemas.openxmlformats.org/officeDocument/2006/relationships/hyperlink" Target="http://web2.westlaw.com/find/default.wl?mt=Westlaw&amp;db=1000546&amp;docname=26USCAS6056&amp;rp=%2ffind%2fdefault.wl&amp;findtype=L&amp;ordoc=2035137420&amp;tc=-1&amp;vr=2.0&amp;fn=_top&amp;sv=Split&amp;tf=-1&amp;pbc=03ECC1AE&amp;rs=WLW14.10" TargetMode="External"/><Relationship Id="rId55" Type="http://schemas.openxmlformats.org/officeDocument/2006/relationships/hyperlink" Target="http://web2.westlaw.com/find/default.wl?mt=Westlaw&amp;db=1000546&amp;docname=42USCAS18031&amp;rp=%2ffind%2fdefault.wl&amp;findtype=L&amp;ordoc=2035137420&amp;tc=-1&amp;vr=2.0&amp;fn=_top&amp;sv=Split&amp;tf=-1&amp;pbc=03ECC1AE&amp;rs=WLW14.10" TargetMode="External"/><Relationship Id="rId76" Type="http://schemas.openxmlformats.org/officeDocument/2006/relationships/hyperlink" Target="http://web2.westlaw.com/find/default.wl?mt=Westlaw&amp;db=1000546&amp;docname=42USCAS1396W-3&amp;rp=%2ffind%2fdefault.wl&amp;findtype=L&amp;ordoc=2035137420&amp;tc=-1&amp;vr=2.0&amp;fn=_top&amp;sv=Split&amp;tf=-1&amp;referencepositiontype=T&amp;pbc=03ECC1AE&amp;referenceposition=SP%3ba83b000018c76&amp;rs=WLW14.10" TargetMode="External"/><Relationship Id="rId97" Type="http://schemas.openxmlformats.org/officeDocument/2006/relationships/hyperlink" Target="http://web2.westlaw.com/find/default.wl?mt=Westlaw&amp;db=1000546&amp;docname=26USCAS7421&amp;rp=%2ffind%2fdefault.wl&amp;findtype=L&amp;ordoc=2035137420&amp;tc=-1&amp;vr=2.0&amp;fn=_top&amp;sv=Split&amp;tf=-1&amp;referencepositiontype=T&amp;pbc=03ECC1AE&amp;referenceposition=SP%3b8b3b0000958a4&amp;rs=WLW14.10" TargetMode="External"/><Relationship Id="rId104"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20" Type="http://schemas.openxmlformats.org/officeDocument/2006/relationships/hyperlink" Target="http://web2.westlaw.com/find/default.wl?mt=Westlaw&amp;db=0000780&amp;tc=-1&amp;rp=%2ffind%2fdefault.wl&amp;findtype=Y&amp;ordoc=2035137420&amp;serialnum=2022339670&amp;vr=2.0&amp;fn=_top&amp;sv=Split&amp;tf=-1&amp;referencepositiontype=S&amp;pbc=03ECC1AE&amp;referenceposition=149&amp;rs=WLW14.10" TargetMode="External"/><Relationship Id="rId125"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141" Type="http://schemas.openxmlformats.org/officeDocument/2006/relationships/hyperlink" Target="http://web2.westlaw.com/find/default.wl?mt=Westlaw&amp;db=1000546&amp;docname=26USCAS275&amp;rp=%2ffind%2fdefault.wl&amp;findtype=L&amp;ordoc=2035137420&amp;tc=-1&amp;vr=2.0&amp;fn=_top&amp;sv=Split&amp;tf=-1&amp;referencepositiontype=T&amp;pbc=03ECC1AE&amp;referenceposition=SP%3b1496000051ed7&amp;rs=WLW14.10" TargetMode="External"/><Relationship Id="rId146" Type="http://schemas.openxmlformats.org/officeDocument/2006/relationships/hyperlink" Target="http://web2.westlaw.com/find/default.wl?mt=Westlaw&amp;db=0000506&amp;tc=-1&amp;rp=%2ffind%2fdefault.wl&amp;findtype=Y&amp;ordoc=2035137420&amp;serialnum=2030972222&amp;vr=2.0&amp;fn=_top&amp;sv=Split&amp;tf=-1&amp;pbc=03ECC1AE&amp;rs=WLW14.10" TargetMode="External"/><Relationship Id="rId167"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17df000040924&amp;rs=WLW14.10" TargetMode="External"/><Relationship Id="rId7" Type="http://schemas.openxmlformats.org/officeDocument/2006/relationships/hyperlink" Target="http://web2.westlaw.com/find/default.wl?mt=Westlaw&amp;db=1077005&amp;docname=UUID%28I6CC1A77037-5611DF8B35E-28066BB2A1E%29&amp;rp=%2ffind%2fdefault.wl&amp;findtype=l&amp;ordoc=2035137420&amp;tc=-1&amp;vr=2.0&amp;fn=_top&amp;sv=Split&amp;tf=-1&amp;pbc=03ECC1AE&amp;rs=WLW14.10" TargetMode="External"/><Relationship Id="rId71" Type="http://schemas.openxmlformats.org/officeDocument/2006/relationships/hyperlink" Target="http://web2.westlaw.com/find/default.wl?mt=Westlaw&amp;db=1000546&amp;docname=42USCAS18031&amp;rp=%2ffind%2fdefault.wl&amp;findtype=L&amp;ordoc=2035137420&amp;tc=-1&amp;vr=2.0&amp;fn=_top&amp;sv=Split&amp;tf=-1&amp;referencepositiontype=T&amp;pbc=03ECC1AE&amp;referenceposition=SP%3b3fed000053a85&amp;rs=WLW14.10" TargetMode="External"/><Relationship Id="rId92"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162"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2" Type="http://schemas.openxmlformats.org/officeDocument/2006/relationships/settings" Target="settings.xml"/><Relationship Id="rId29" Type="http://schemas.openxmlformats.org/officeDocument/2006/relationships/hyperlink" Target="http://web2.westlaw.com/find/default.wl?mt=Westlaw&amp;db=0000708&amp;tc=-1&amp;rp=%2ffind%2fdefault.wl&amp;findtype=Y&amp;ordoc=2035137420&amp;serialnum=2027995535&amp;vr=2.0&amp;fn=_top&amp;sv=Split&amp;tf=-1&amp;pbc=03ECC1AE&amp;rs=WLW14.10" TargetMode="External"/><Relationship Id="rId24" Type="http://schemas.openxmlformats.org/officeDocument/2006/relationships/hyperlink" Target="http://web2.westlaw.com/find/default.wl?mt=Westlaw&amp;db=0000506&amp;tc=-1&amp;rp=%2ffind%2fdefault.wl&amp;findtype=Y&amp;ordoc=2035137420&amp;serialnum=2033886282&amp;vr=2.0&amp;fn=_top&amp;sv=Split&amp;tf=-1&amp;pbc=03ECC1AE&amp;rs=WLW14.10" TargetMode="External"/><Relationship Id="rId40"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45"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17df000040924&amp;rs=WLW14.10" TargetMode="External"/><Relationship Id="rId66" Type="http://schemas.openxmlformats.org/officeDocument/2006/relationships/hyperlink" Target="http://web2.westlaw.com/find/default.wl?mt=Westlaw&amp;db=1000546&amp;docname=28USCAS1254&amp;rp=%2ffind%2fdefault.wl&amp;findtype=L&amp;ordoc=2035137420&amp;tc=-1&amp;vr=2.0&amp;fn=_top&amp;sv=Split&amp;tf=-1&amp;referencepositiontype=T&amp;pbc=03ECC1AE&amp;referenceposition=SP%3bf1c50000821b0&amp;rs=WLW14.10" TargetMode="External"/><Relationship Id="rId87" Type="http://schemas.openxmlformats.org/officeDocument/2006/relationships/hyperlink" Target="http://web2.westlaw.com/find/default.wl?mt=Westlaw&amp;db=1000547&amp;docname=26CFRS1.36B-1&amp;rp=%2ffind%2fdefault.wl&amp;findtype=L&amp;ordoc=2035137420&amp;tc=-1&amp;vr=2.0&amp;fn=_top&amp;sv=Split&amp;tf=-1&amp;referencepositiontype=T&amp;pbc=03ECC1AE&amp;referenceposition=SP%3b340a00009b6f3&amp;rs=WLW14.10" TargetMode="External"/><Relationship Id="rId110"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115"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31" Type="http://schemas.openxmlformats.org/officeDocument/2006/relationships/hyperlink" Target="http://web2.westlaw.com/find/default.wl?mt=Westlaw&amp;db=1000546&amp;docname=26USCAS7421&amp;rp=%2ffind%2fdefault.wl&amp;findtype=L&amp;ordoc=2035137420&amp;tc=-1&amp;vr=2.0&amp;fn=_top&amp;sv=Split&amp;tf=-1&amp;referencepositiontype=T&amp;pbc=03ECC1AE&amp;referenceposition=SP%3b8b3b0000958a4&amp;rs=WLW14.10" TargetMode="External"/><Relationship Id="rId136"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57"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e77c00002f3d1&amp;rs=WLW14.10" TargetMode="External"/><Relationship Id="rId61" Type="http://schemas.openxmlformats.org/officeDocument/2006/relationships/hyperlink" Target="http://web2.westlaw.com/find/default.wl?mt=Westlaw&amp;db=1000547&amp;docname=26CFRS1.36B-1&amp;rp=%2ffind%2fdefault.wl&amp;findtype=L&amp;ordoc=2035137420&amp;tc=-1&amp;vr=2.0&amp;fn=_top&amp;sv=Split&amp;tf=-1&amp;referencepositiontype=T&amp;pbc=03ECC1AE&amp;referenceposition=SP%3b340a00009b6f3&amp;rs=WLW14.10" TargetMode="External"/><Relationship Id="rId82" Type="http://schemas.openxmlformats.org/officeDocument/2006/relationships/hyperlink" Target="http://web2.westlaw.com/find/default.wl?mt=Westlaw&amp;db=1000546&amp;docname=42USCAS18031&amp;rp=%2ffind%2fdefault.wl&amp;findtype=L&amp;ordoc=2035137420&amp;tc=-1&amp;vr=2.0&amp;fn=_top&amp;sv=Split&amp;tf=-1&amp;pbc=03ECC1AE&amp;rs=WLW14.10" TargetMode="External"/><Relationship Id="rId152" Type="http://schemas.openxmlformats.org/officeDocument/2006/relationships/hyperlink" Target="http://web2.westlaw.com/find/default.wl?mt=Westlaw&amp;db=0000999&amp;tc=-1&amp;rp=%2ffind%2fdefault.wl&amp;findtype=Y&amp;ordoc=2035137420&amp;serialnum=2034337488&amp;vr=2.0&amp;fn=_top&amp;sv=Split&amp;tf=-1&amp;pbc=03ECC1AE&amp;rs=WLW14.10" TargetMode="External"/><Relationship Id="rId19" Type="http://schemas.openxmlformats.org/officeDocument/2006/relationships/hyperlink" Target="http://web2.westlaw.com/find/default.wl?mt=Westlaw&amp;db=0000506&amp;tc=-1&amp;rp=%2ffind%2fdefault.wl&amp;findtype=Y&amp;ordoc=2035137420&amp;serialnum=2033885944&amp;vr=2.0&amp;fn=_top&amp;sv=Split&amp;tf=-1&amp;pbc=03ECC1AE&amp;rs=WLW14.10" TargetMode="External"/><Relationship Id="rId14" Type="http://schemas.openxmlformats.org/officeDocument/2006/relationships/hyperlink" Target="http://web2.westlaw.com/find/default.wl?mt=Westlaw&amp;db=1000547&amp;docname=26CFRS1.36B-1&amp;rp=%2ffind%2fdefault.wl&amp;findtype=L&amp;ordoc=2035137420&amp;tc=-1&amp;vr=2.0&amp;fn=_top&amp;sv=Split&amp;tf=-1&amp;referencepositiontype=T&amp;pbc=03ECC1AE&amp;referenceposition=SP%3b340a00009b6f3&amp;rs=WLW14.10" TargetMode="External"/><Relationship Id="rId30" Type="http://schemas.openxmlformats.org/officeDocument/2006/relationships/hyperlink" Target="http://web2.westlaw.com/find/default.wl?mt=Westlaw&amp;db=1000546&amp;docname=26USCAS7421&amp;rp=%2ffind%2fdefault.wl&amp;findtype=L&amp;ordoc=2035137420&amp;tc=-1&amp;vr=2.0&amp;fn=_top&amp;sv=Split&amp;tf=-1&amp;referencepositiontype=T&amp;pbc=03ECC1AE&amp;referenceposition=SP%3b8b3b0000958a4&amp;rs=WLW14.10" TargetMode="External"/><Relationship Id="rId35"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a83b000018c76&amp;rs=WLW14.10" TargetMode="External"/><Relationship Id="rId56" Type="http://schemas.openxmlformats.org/officeDocument/2006/relationships/hyperlink" Target="http://web2.westlaw.com/find/default.wl?mt=Westlaw&amp;db=1000546&amp;docname=42USCAS18031&amp;rp=%2ffind%2fdefault.wl&amp;findtype=L&amp;ordoc=2035137420&amp;tc=-1&amp;vr=2.0&amp;fn=_top&amp;sv=Split&amp;tf=-1&amp;referencepositiontype=T&amp;pbc=03ECC1AE&amp;referenceposition=SP%3b3fed000053a85&amp;rs=WLW14.10" TargetMode="External"/><Relationship Id="rId77" Type="http://schemas.openxmlformats.org/officeDocument/2006/relationships/hyperlink" Target="http://web2.westlaw.com/find/default.wl?mt=Westlaw&amp;db=1000546&amp;docname=42USCAS1397EE&amp;rp=%2ffind%2fdefault.wl&amp;findtype=L&amp;ordoc=2035137420&amp;tc=-1&amp;vr=2.0&amp;fn=_top&amp;sv=Split&amp;tf=-1&amp;referencepositiontype=T&amp;pbc=03ECC1AE&amp;referenceposition=SP%3b88fb000007b85&amp;rs=WLW14.10" TargetMode="External"/><Relationship Id="rId100" Type="http://schemas.openxmlformats.org/officeDocument/2006/relationships/hyperlink" Target="http://web2.westlaw.com/find/default.wl?mt=Westlaw&amp;db=0000506&amp;tc=-1&amp;rp=%2ffind%2fdefault.wl&amp;findtype=Y&amp;ordoc=2035137420&amp;serialnum=2030972222&amp;vr=2.0&amp;fn=_top&amp;sv=Split&amp;tf=-1&amp;referencepositiontype=S&amp;pbc=03ECC1AE&amp;referenceposition=86&amp;rs=WLW14.10" TargetMode="External"/><Relationship Id="rId105"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26"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147" Type="http://schemas.openxmlformats.org/officeDocument/2006/relationships/hyperlink" Target="http://web2.westlaw.com/find/default.wl?mt=Westlaw&amp;db=0000708&amp;tc=-1&amp;rp=%2ffind%2fdefault.wl&amp;findtype=Y&amp;ordoc=2035137420&amp;serialnum=2031515416&amp;vr=2.0&amp;fn=_top&amp;sv=Split&amp;tf=-1&amp;pbc=03ECC1AE&amp;rs=WLW14.10" TargetMode="External"/><Relationship Id="rId168" Type="http://schemas.openxmlformats.org/officeDocument/2006/relationships/hyperlink" Target="http://web2.westlaw.com/find/default.wl?mt=Westlaw&amp;db=0000999&amp;tc=-1&amp;rp=%2ffind%2fdefault.wl&amp;findtype=Y&amp;ordoc=2035137420&amp;serialnum=2032543994&amp;vr=2.0&amp;fn=_top&amp;sv=Split&amp;tf=-1&amp;pbc=03ECC1AE&amp;rs=WLW14.10" TargetMode="External"/><Relationship Id="rId8" Type="http://schemas.openxmlformats.org/officeDocument/2006/relationships/hyperlink" Target="http://web2.westlaw.com/find/default.wl?mt=Westlaw&amp;db=1000546&amp;docname=42USCAS18031&amp;rp=%2ffind%2fdefault.wl&amp;findtype=L&amp;ordoc=2035137420&amp;tc=-1&amp;vr=2.0&amp;fn=_top&amp;sv=Split&amp;tf=-1&amp;referencepositiontype=T&amp;pbc=03ECC1AE&amp;referenceposition=SP%3b3fed000053a85&amp;rs=WLW14.10" TargetMode="External"/><Relationship Id="rId51" Type="http://schemas.openxmlformats.org/officeDocument/2006/relationships/hyperlink" Target="http://web2.westlaw.com/find/default.wl?mt=Westlaw&amp;db=1000546&amp;docname=26USCAS6056&amp;rp=%2ffind%2fdefault.wl&amp;findtype=L&amp;ordoc=2035137420&amp;tc=-1&amp;vr=2.0&amp;fn=_top&amp;sv=Split&amp;tf=-1&amp;referencepositiontype=T&amp;pbc=03ECC1AE&amp;referenceposition=SP%3b8b3b0000958a4&amp;rs=WLW14.10" TargetMode="External"/><Relationship Id="rId72" Type="http://schemas.openxmlformats.org/officeDocument/2006/relationships/hyperlink" Target="http://web2.westlaw.com/find/default.wl?mt=Westlaw&amp;db=1000546&amp;docname=42USCAS18041&amp;rp=%2ffind%2fdefault.wl&amp;findtype=L&amp;ordoc=2035137420&amp;tc=-1&amp;vr=2.0&amp;fn=_top&amp;sv=Split&amp;tf=-1&amp;referencepositiontype=T&amp;pbc=03ECC1AE&amp;referenceposition=SP%3b10c0000001331&amp;rs=WLW14.10" TargetMode="External"/><Relationship Id="rId93"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98" Type="http://schemas.openxmlformats.org/officeDocument/2006/relationships/hyperlink" Target="http://web2.westlaw.com/find/default.wl?mt=Westlaw&amp;db=1000546&amp;docname=26USCAS7421&amp;rp=%2ffind%2fdefault.wl&amp;findtype=L&amp;ordoc=2035137420&amp;tc=-1&amp;vr=2.0&amp;fn=_top&amp;sv=Split&amp;tf=-1&amp;referencepositiontype=T&amp;pbc=03ECC1AE&amp;referenceposition=SP%3b8b3b0000958a4&amp;rs=WLW14.10" TargetMode="External"/><Relationship Id="rId121" Type="http://schemas.openxmlformats.org/officeDocument/2006/relationships/hyperlink" Target="http://web2.westlaw.com/find/default.wl?mt=Westlaw&amp;db=0000780&amp;tc=-1&amp;rp=%2ffind%2fdefault.wl&amp;findtype=Y&amp;ordoc=2035137420&amp;serialnum=1923120352&amp;vr=2.0&amp;fn=_top&amp;sv=Split&amp;tf=-1&amp;referencepositiontype=S&amp;pbc=03ECC1AE&amp;referenceposition=485&amp;rs=WLW14.10" TargetMode="External"/><Relationship Id="rId142"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63" Type="http://schemas.openxmlformats.org/officeDocument/2006/relationships/hyperlink" Target="http://web2.westlaw.com/find/default.wl?mt=Westlaw&amp;db=1000546&amp;docname=26USCAS5000A&amp;rp=%2ffind%2fdefault.wl&amp;findtype=L&amp;ordoc=2035137420&amp;tc=-1&amp;vr=2.0&amp;fn=_top&amp;sv=Split&amp;tf=-1&amp;referencepositiontype=T&amp;pbc=03ECC1AE&amp;referenceposition=SP%3b16f4000091d86&amp;rs=WLW14.10" TargetMode="External"/><Relationship Id="rId3" Type="http://schemas.openxmlformats.org/officeDocument/2006/relationships/webSettings" Target="webSettings.xml"/><Relationship Id="rId25" Type="http://schemas.openxmlformats.org/officeDocument/2006/relationships/hyperlink" Target="http://web2.westlaw.com/find/default.wl?mt=Westlaw&amp;db=0000506&amp;tc=-1&amp;rp=%2ffind%2fdefault.wl&amp;findtype=Y&amp;ordoc=2035137420&amp;serialnum=2030972222&amp;vr=2.0&amp;fn=_top&amp;sv=Split&amp;tf=-1&amp;pbc=03ECC1AE&amp;rs=WLW14.10" TargetMode="External"/><Relationship Id="rId46"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67" Type="http://schemas.openxmlformats.org/officeDocument/2006/relationships/hyperlink" Target="http://web2.westlaw.com/find/default.wl?mt=Westlaw&amp;db=1000546&amp;docname=28USCAS2101&amp;rp=%2ffind%2fdefault.wl&amp;findtype=L&amp;ordoc=2035137420&amp;tc=-1&amp;vr=2.0&amp;fn=_top&amp;sv=Split&amp;tf=-1&amp;referencepositiontype=T&amp;pbc=03ECC1AE&amp;referenceposition=SP%3b7fdd00001ca15&amp;rs=WLW14.10" TargetMode="External"/><Relationship Id="rId116"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 Id="rId137"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c0ae00006c482&amp;rs=WLW14.10" TargetMode="External"/><Relationship Id="rId158"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20" Type="http://schemas.openxmlformats.org/officeDocument/2006/relationships/hyperlink" Target="http://web2.westlaw.com/find/default.wl?mt=Westlaw&amp;db=0000999&amp;tc=-1&amp;rp=%2ffind%2fdefault.wl&amp;findtype=Y&amp;ordoc=2035137420&amp;serialnum=2034337488&amp;vr=2.0&amp;fn=_top&amp;sv=Split&amp;tf=-1&amp;pbc=03ECC1AE&amp;rs=WLW14.10" TargetMode="External"/><Relationship Id="rId41" Type="http://schemas.openxmlformats.org/officeDocument/2006/relationships/hyperlink" Target="http://web2.westlaw.com/find/default.wl?mt=Westlaw&amp;db=1000546&amp;docname=26USCAS4980H&amp;rp=%2ffind%2fdefault.wl&amp;findtype=L&amp;ordoc=2035137420&amp;tc=-1&amp;vr=2.0&amp;fn=_top&amp;sv=Split&amp;tf=-1&amp;referencepositiontype=T&amp;pbc=03ECC1AE&amp;referenceposition=SP%3bc0ae00006c482&amp;rs=WLW14.10" TargetMode="External"/><Relationship Id="rId62" Type="http://schemas.openxmlformats.org/officeDocument/2006/relationships/hyperlink" Target="http://web2.westlaw.com/find/default.wl?mt=Westlaw&amp;db=1000547&amp;docname=45CFRS155.20&amp;rp=%2ffind%2fdefault.wl&amp;findtype=L&amp;ordoc=2035137420&amp;tc=-1&amp;vr=2.0&amp;fn=_top&amp;sv=Split&amp;tf=-1&amp;pbc=03ECC1AE&amp;rs=WLW14.10" TargetMode="External"/><Relationship Id="rId83" Type="http://schemas.openxmlformats.org/officeDocument/2006/relationships/hyperlink" Target="http://web2.westlaw.com/find/default.wl?mt=Westlaw&amp;db=1000546&amp;docname=26USCAS36B&amp;rp=%2ffind%2fdefault.wl&amp;findtype=L&amp;ordoc=2035137420&amp;tc=-1&amp;vr=2.0&amp;fn=_top&amp;sv=Split&amp;tf=-1&amp;referencepositiontype=T&amp;pbc=03ECC1AE&amp;referenceposition=SP%3b1eca000045f07&amp;rs=WLW14.10" TargetMode="External"/><Relationship Id="rId88" Type="http://schemas.openxmlformats.org/officeDocument/2006/relationships/hyperlink" Target="http://web2.westlaw.com/find/default.wl?mt=Westlaw&amp;db=1000546&amp;docname=26USCAS36B&amp;rp=%2ffind%2fdefault.wl&amp;findtype=L&amp;ordoc=2035137420&amp;tc=-1&amp;vr=2.0&amp;fn=_top&amp;sv=Split&amp;tf=-1&amp;pbc=03ECC1AE&amp;rs=WLW14.10" TargetMode="External"/><Relationship Id="rId111" Type="http://schemas.openxmlformats.org/officeDocument/2006/relationships/hyperlink" Target="http://web2.westlaw.com/find/default.wl?mt=Westlaw&amp;db=0000999&amp;tc=-1&amp;rp=%2ffind%2fdefault.wl&amp;findtype=Y&amp;ordoc=2035137420&amp;serialnum=2033885944&amp;vr=2.0&amp;fn=_top&amp;sv=Split&amp;tf=-1&amp;pbc=03ECC1AE&amp;rs=WLW14.10" TargetMode="External"/><Relationship Id="rId132" Type="http://schemas.openxmlformats.org/officeDocument/2006/relationships/hyperlink" Target="http://web2.westlaw.com/find/default.wl?mt=Westlaw&amp;db=1000546&amp;docname=26USCAS5000A&amp;rp=%2ffind%2fdefault.wl&amp;findtype=L&amp;ordoc=2035137420&amp;tc=-1&amp;vr=2.0&amp;fn=_top&amp;sv=Split&amp;tf=-1&amp;pbc=03ECC1AE&amp;rs=WLW14.10" TargetMode="External"/><Relationship Id="rId153" Type="http://schemas.openxmlformats.org/officeDocument/2006/relationships/hyperlink" Target="http://web2.westlaw.com/find/default.wl?mt=Westlaw&amp;db=1000546&amp;docname=26USCAS4980H&amp;rp=%2ffind%2fdefault.wl&amp;findtype=L&amp;ordoc=2035137420&amp;tc=-1&amp;vr=2.0&amp;fn=_top&amp;sv=Split&amp;tf=-1&amp;pbc=03ECC1AE&amp;rs=WLW14.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10352</Words>
  <Characters>59007</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2014-12-24T02:20:00Z</dcterms:created>
  <dcterms:modified xsi:type="dcterms:W3CDTF">2014-12-24T02:21:00Z</dcterms:modified>
</cp:coreProperties>
</file>