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D7AE1C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bookmarkStart w:id="0" w:name="_GoBack"/>
      <w:r>
        <w:rPr>
          <w:rFonts w:ascii="CIDFont+F2" w:hAnsi="CIDFont+F2" w:cs="CIDFont+F2"/>
          <w:sz w:val="24"/>
          <w:szCs w:val="24"/>
        </w:rPr>
        <w:t>The Final Rule stated that an individual or entity may bring a civil action to</w:t>
      </w:r>
    </w:p>
    <w:p w14:paraId="0B3F4C5B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challenge a violation of Section 1557 or of the regulation in Federal court. 45 CFR §</w:t>
      </w:r>
    </w:p>
    <w:p w14:paraId="1660ECEB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92.302(d). The Department explained in the preamble to the Final Rule that private rights</w:t>
      </w:r>
    </w:p>
    <w:p w14:paraId="1F6DAD25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of action were available for Section 1557 claims against recipients of Federal financial</w:t>
      </w:r>
    </w:p>
    <w:p w14:paraId="4D9819A4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assistance or State Exchanges for racial, national origin, sex, age, or disability</w:t>
      </w:r>
    </w:p>
    <w:p w14:paraId="5F1C8111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 xml:space="preserve">discrimination. </w:t>
      </w:r>
      <w:r>
        <w:rPr>
          <w:rFonts w:ascii="CIDFont+F1" w:eastAsia="CIDFont+F1" w:hAnsi="CIDFont+F2" w:cs="CIDFont+F1"/>
          <w:sz w:val="24"/>
          <w:szCs w:val="24"/>
        </w:rPr>
        <w:t xml:space="preserve">See </w:t>
      </w:r>
      <w:r>
        <w:rPr>
          <w:rFonts w:ascii="CIDFont+F2" w:hAnsi="CIDFont+F2" w:cs="CIDFont+F2"/>
          <w:sz w:val="24"/>
          <w:szCs w:val="24"/>
        </w:rPr>
        <w:t>81 FR at 31440 (stating that “both the proposed and the final rule</w:t>
      </w:r>
    </w:p>
    <w:p w14:paraId="639056DE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specify that a private right of action is available under Section 1557” and such actions are</w:t>
      </w:r>
    </w:p>
    <w:p w14:paraId="33617FDB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available “on the basis of any of the criteria enumerated in the legislation”). Multiple</w:t>
      </w:r>
    </w:p>
    <w:p w14:paraId="3E72BC0A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Federal courts have held that Section 1557, or the statutes underlying it, do not permit</w:t>
      </w:r>
    </w:p>
    <w:p w14:paraId="52A4B069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16"/>
          <w:szCs w:val="16"/>
        </w:rPr>
      </w:pPr>
      <w:r>
        <w:rPr>
          <w:rFonts w:ascii="CIDFont+F2" w:hAnsi="CIDFont+F2" w:cs="CIDFont+F2"/>
          <w:sz w:val="24"/>
          <w:szCs w:val="24"/>
        </w:rPr>
        <w:t xml:space="preserve">private rights of action for disparate impact claims of discrimination </w:t>
      </w:r>
      <w:proofErr w:type="gramStart"/>
      <w:r>
        <w:rPr>
          <w:rFonts w:ascii="CIDFont+F2" w:hAnsi="CIDFont+F2" w:cs="CIDFont+F2"/>
          <w:sz w:val="24"/>
          <w:szCs w:val="24"/>
        </w:rPr>
        <w:t>on the basis of</w:t>
      </w:r>
      <w:proofErr w:type="gramEnd"/>
      <w:r>
        <w:rPr>
          <w:rFonts w:ascii="CIDFont+F2" w:hAnsi="CIDFont+F2" w:cs="CIDFont+F2"/>
          <w:sz w:val="24"/>
          <w:szCs w:val="24"/>
        </w:rPr>
        <w:t xml:space="preserve"> race</w:t>
      </w:r>
      <w:r>
        <w:rPr>
          <w:rFonts w:ascii="CIDFont+F2" w:hAnsi="CIDFont+F2" w:cs="CIDFont+F2"/>
          <w:sz w:val="16"/>
          <w:szCs w:val="16"/>
        </w:rPr>
        <w:t>20</w:t>
      </w:r>
    </w:p>
    <w:p w14:paraId="131091C0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or sex,</w:t>
      </w:r>
      <w:r>
        <w:rPr>
          <w:rFonts w:ascii="CIDFont+F2" w:hAnsi="CIDFont+F2" w:cs="CIDFont+F2"/>
          <w:sz w:val="16"/>
          <w:szCs w:val="16"/>
        </w:rPr>
        <w:t xml:space="preserve">21 </w:t>
      </w:r>
      <w:r>
        <w:rPr>
          <w:rFonts w:ascii="CIDFont+F2" w:hAnsi="CIDFont+F2" w:cs="CIDFont+F2"/>
          <w:sz w:val="24"/>
          <w:szCs w:val="24"/>
        </w:rPr>
        <w:t>and there is a split on the question with respect to disability, with one Federal</w:t>
      </w:r>
    </w:p>
    <w:p w14:paraId="7DB431E9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appellate court holding that such private rights of action are not available and other</w:t>
      </w:r>
    </w:p>
    <w:p w14:paraId="04EBBC92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Federal appellate courts holding that such private rights of action are available for claims of</w:t>
      </w:r>
    </w:p>
    <w:p w14:paraId="62ADE981" w14:textId="6F4B5062" w:rsidR="00932BCA" w:rsidRDefault="00737EB0" w:rsidP="00737EB0">
      <w:pPr>
        <w:rPr>
          <w:rFonts w:ascii="CIDFont+F2" w:hAnsi="CIDFont+F2" w:cs="CIDFont+F2"/>
          <w:sz w:val="16"/>
          <w:szCs w:val="16"/>
        </w:rPr>
      </w:pPr>
      <w:r>
        <w:rPr>
          <w:rFonts w:ascii="CIDFont+F2" w:hAnsi="CIDFont+F2" w:cs="CIDFont+F2"/>
          <w:sz w:val="24"/>
          <w:szCs w:val="24"/>
        </w:rPr>
        <w:t xml:space="preserve">discrimination </w:t>
      </w:r>
      <w:proofErr w:type="gramStart"/>
      <w:r>
        <w:rPr>
          <w:rFonts w:ascii="CIDFont+F2" w:hAnsi="CIDFont+F2" w:cs="CIDFont+F2"/>
          <w:sz w:val="24"/>
          <w:szCs w:val="24"/>
        </w:rPr>
        <w:t>on the basis of</w:t>
      </w:r>
      <w:proofErr w:type="gramEnd"/>
      <w:r>
        <w:rPr>
          <w:rFonts w:ascii="CIDFont+F2" w:hAnsi="CIDFont+F2" w:cs="CIDFont+F2"/>
          <w:sz w:val="24"/>
          <w:szCs w:val="24"/>
        </w:rPr>
        <w:t xml:space="preserve"> disability.</w:t>
      </w:r>
      <w:r>
        <w:rPr>
          <w:rFonts w:ascii="CIDFont+F2" w:hAnsi="CIDFont+F2" w:cs="CIDFont+F2"/>
          <w:sz w:val="16"/>
          <w:szCs w:val="16"/>
        </w:rPr>
        <w:t>22</w:t>
      </w:r>
    </w:p>
    <w:p w14:paraId="199E9BAE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13"/>
          <w:szCs w:val="13"/>
        </w:rPr>
        <w:t xml:space="preserve">20 </w:t>
      </w:r>
      <w:r>
        <w:rPr>
          <w:rFonts w:ascii="CIDFont+F1" w:eastAsia="CIDFont+F1" w:hAnsi="CIDFont+F2" w:cs="CIDFont+F1"/>
          <w:sz w:val="20"/>
          <w:szCs w:val="20"/>
        </w:rPr>
        <w:t>See Southeastern Pennsylvania Transp. Authority v. Gilead</w:t>
      </w:r>
      <w:r>
        <w:rPr>
          <w:rFonts w:ascii="CIDFont+F2" w:hAnsi="CIDFont+F2" w:cs="CIDFont+F2"/>
          <w:sz w:val="20"/>
          <w:szCs w:val="20"/>
        </w:rPr>
        <w:t>, 102 F. Supp. 3d 688, 698-701 (E.D. Pa. 2015)</w:t>
      </w:r>
    </w:p>
    <w:p w14:paraId="74C71E13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>(holding that Section 1557, incorporating Title VI, does not permit a private right of action for a disparate</w:t>
      </w:r>
    </w:p>
    <w:p w14:paraId="15D9C421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 xml:space="preserve">impact claim </w:t>
      </w:r>
      <w:proofErr w:type="gramStart"/>
      <w:r>
        <w:rPr>
          <w:rFonts w:ascii="CIDFont+F2" w:hAnsi="CIDFont+F2" w:cs="CIDFont+F2"/>
          <w:sz w:val="20"/>
          <w:szCs w:val="20"/>
        </w:rPr>
        <w:t>on the basis of</w:t>
      </w:r>
      <w:proofErr w:type="gramEnd"/>
      <w:r>
        <w:rPr>
          <w:rFonts w:ascii="CIDFont+F2" w:hAnsi="CIDFont+F2" w:cs="CIDFont+F2"/>
          <w:sz w:val="20"/>
          <w:szCs w:val="20"/>
        </w:rPr>
        <w:t xml:space="preserve"> race); </w:t>
      </w:r>
      <w:r>
        <w:rPr>
          <w:rFonts w:ascii="CIDFont+F1" w:eastAsia="CIDFont+F1" w:hAnsi="CIDFont+F2" w:cs="CIDFont+F1"/>
          <w:sz w:val="20"/>
          <w:szCs w:val="20"/>
        </w:rPr>
        <w:t>see also Alexander v. Sandoval</w:t>
      </w:r>
      <w:r>
        <w:rPr>
          <w:rFonts w:ascii="CIDFont+F2" w:hAnsi="CIDFont+F2" w:cs="CIDFont+F2"/>
          <w:sz w:val="20"/>
          <w:szCs w:val="20"/>
        </w:rPr>
        <w:t>, 532 U.S. 275, 282-83 (2001).</w:t>
      </w:r>
    </w:p>
    <w:p w14:paraId="5E45D7F7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13"/>
          <w:szCs w:val="13"/>
        </w:rPr>
        <w:t xml:space="preserve">21 </w:t>
      </w:r>
      <w:r>
        <w:rPr>
          <w:rFonts w:ascii="CIDFont+F1" w:eastAsia="CIDFont+F1" w:hAnsi="CIDFont+F2" w:cs="CIDFont+F1"/>
          <w:sz w:val="20"/>
          <w:szCs w:val="20"/>
        </w:rPr>
        <w:t xml:space="preserve">See </w:t>
      </w:r>
      <w:proofErr w:type="spellStart"/>
      <w:r>
        <w:rPr>
          <w:rFonts w:ascii="CIDFont+F1" w:eastAsia="CIDFont+F1" w:hAnsi="CIDFont+F2" w:cs="CIDFont+F1"/>
          <w:sz w:val="20"/>
          <w:szCs w:val="20"/>
        </w:rPr>
        <w:t>Condry</w:t>
      </w:r>
      <w:proofErr w:type="spellEnd"/>
      <w:r>
        <w:rPr>
          <w:rFonts w:ascii="CIDFont+F1" w:eastAsia="CIDFont+F1" w:hAnsi="CIDFont+F2" w:cs="CIDFont+F1"/>
          <w:sz w:val="20"/>
          <w:szCs w:val="20"/>
        </w:rPr>
        <w:t xml:space="preserve"> v. UnitedHealth Group</w:t>
      </w:r>
      <w:r>
        <w:rPr>
          <w:rFonts w:ascii="CIDFont+F2" w:hAnsi="CIDFont+F2" w:cs="CIDFont+F2"/>
          <w:sz w:val="20"/>
          <w:szCs w:val="20"/>
        </w:rPr>
        <w:t>, No. 17-cf-00183-VC (N.D. Calif. 2018) (“disparate impact</w:t>
      </w:r>
    </w:p>
    <w:p w14:paraId="387AFE7D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 xml:space="preserve">claims </w:t>
      </w:r>
      <w:proofErr w:type="gramStart"/>
      <w:r>
        <w:rPr>
          <w:rFonts w:ascii="CIDFont+F2" w:hAnsi="CIDFont+F2" w:cs="CIDFont+F2"/>
          <w:sz w:val="20"/>
          <w:szCs w:val="20"/>
        </w:rPr>
        <w:t>on the basis of</w:t>
      </w:r>
      <w:proofErr w:type="gramEnd"/>
      <w:r>
        <w:rPr>
          <w:rFonts w:ascii="CIDFont+F2" w:hAnsi="CIDFont+F2" w:cs="CIDFont+F2"/>
          <w:sz w:val="20"/>
          <w:szCs w:val="20"/>
        </w:rPr>
        <w:t xml:space="preserve"> sex are not cognizable under section 1557”); </w:t>
      </w:r>
      <w:proofErr w:type="spellStart"/>
      <w:r>
        <w:rPr>
          <w:rFonts w:ascii="CIDFont+F1" w:eastAsia="CIDFont+F1" w:hAnsi="CIDFont+F2" w:cs="CIDFont+F1"/>
          <w:sz w:val="20"/>
          <w:szCs w:val="20"/>
        </w:rPr>
        <w:t>Weinreb</w:t>
      </w:r>
      <w:proofErr w:type="spellEnd"/>
      <w:r>
        <w:rPr>
          <w:rFonts w:ascii="CIDFont+F1" w:eastAsia="CIDFont+F1" w:hAnsi="CIDFont+F2" w:cs="CIDFont+F1"/>
          <w:sz w:val="20"/>
          <w:szCs w:val="20"/>
        </w:rPr>
        <w:t xml:space="preserve"> v. Xerox Business Services</w:t>
      </w:r>
      <w:r>
        <w:rPr>
          <w:rFonts w:ascii="CIDFont+F2" w:hAnsi="CIDFont+F2" w:cs="CIDFont+F2"/>
          <w:sz w:val="20"/>
          <w:szCs w:val="20"/>
        </w:rPr>
        <w:t>, 323 F.</w:t>
      </w:r>
    </w:p>
    <w:p w14:paraId="6181E07E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 xml:space="preserve">Supp. 3d 501, 521 (S.D.N.Y. 2018); </w:t>
      </w:r>
      <w:r>
        <w:rPr>
          <w:rFonts w:ascii="CIDFont+F1" w:eastAsia="CIDFont+F1" w:hAnsi="CIDFont+F2" w:cs="CIDFont+F1"/>
          <w:sz w:val="20"/>
          <w:szCs w:val="20"/>
        </w:rPr>
        <w:t>Briscoe v. Health Care Serv. Corp.</w:t>
      </w:r>
      <w:r>
        <w:rPr>
          <w:rFonts w:ascii="CIDFont+F2" w:hAnsi="CIDFont+F2" w:cs="CIDFont+F2"/>
          <w:sz w:val="20"/>
          <w:szCs w:val="20"/>
        </w:rPr>
        <w:t>, 281 F. Supp. 3d 725, 738 (N.D. Ill. 2017);</w:t>
      </w:r>
    </w:p>
    <w:p w14:paraId="4E8E2EDE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1" w:eastAsia="CIDFont+F1" w:hAnsi="CIDFont+F2" w:cs="CIDFont+F1"/>
          <w:sz w:val="20"/>
          <w:szCs w:val="20"/>
        </w:rPr>
      </w:pPr>
      <w:r>
        <w:rPr>
          <w:rFonts w:ascii="CIDFont+F1" w:eastAsia="CIDFont+F1" w:hAnsi="CIDFont+F2" w:cs="CIDFont+F1"/>
          <w:sz w:val="20"/>
          <w:szCs w:val="20"/>
        </w:rPr>
        <w:t>York v. Wellmark, Inc</w:t>
      </w:r>
      <w:r>
        <w:rPr>
          <w:rFonts w:ascii="CIDFont+F2" w:hAnsi="CIDFont+F2" w:cs="CIDFont+F2"/>
          <w:sz w:val="20"/>
          <w:szCs w:val="20"/>
        </w:rPr>
        <w:t xml:space="preserve">., No. 4:16-cv-00627-RGE-CFB, at *15-16 (S.D. Iowa Sep. 6, 2017); </w:t>
      </w:r>
      <w:r>
        <w:rPr>
          <w:rFonts w:ascii="CIDFont+F1" w:eastAsia="CIDFont+F1" w:hAnsi="CIDFont+F2" w:cs="CIDFont+F1"/>
          <w:sz w:val="20"/>
          <w:szCs w:val="20"/>
        </w:rPr>
        <w:t>Southeastern</w:t>
      </w:r>
    </w:p>
    <w:p w14:paraId="3FA8E678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1" w:eastAsia="CIDFont+F1" w:hAnsi="CIDFont+F2" w:cs="CIDFont+F1"/>
          <w:sz w:val="20"/>
          <w:szCs w:val="20"/>
        </w:rPr>
        <w:t>Pennsylvania v. Gilead</w:t>
      </w:r>
      <w:r>
        <w:rPr>
          <w:rFonts w:ascii="CIDFont+F2" w:hAnsi="CIDFont+F2" w:cs="CIDFont+F2"/>
          <w:sz w:val="20"/>
          <w:szCs w:val="20"/>
        </w:rPr>
        <w:t>, 102 F. Supp. 3d 688 (E.D. Pa. 2015).</w:t>
      </w:r>
    </w:p>
    <w:p w14:paraId="4D9E720B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13"/>
          <w:szCs w:val="13"/>
        </w:rPr>
        <w:t xml:space="preserve">22 </w:t>
      </w:r>
      <w:r>
        <w:rPr>
          <w:rFonts w:ascii="CIDFont+F1" w:eastAsia="CIDFont+F1" w:hAnsi="CIDFont+F2" w:cs="CIDFont+F1"/>
          <w:sz w:val="20"/>
          <w:szCs w:val="20"/>
        </w:rPr>
        <w:t>Compare Crocker v. Runyon</w:t>
      </w:r>
      <w:r>
        <w:rPr>
          <w:rFonts w:ascii="CIDFont+F2" w:hAnsi="CIDFont+F2" w:cs="CIDFont+F2"/>
          <w:sz w:val="20"/>
          <w:szCs w:val="20"/>
        </w:rPr>
        <w:t xml:space="preserve">, 207 F.3d 314, 321 (6th Cir. 2000); </w:t>
      </w:r>
      <w:r>
        <w:rPr>
          <w:rFonts w:ascii="CIDFont+F1" w:eastAsia="CIDFont+F1" w:hAnsi="CIDFont+F2" w:cs="CIDFont+F1"/>
          <w:sz w:val="20"/>
          <w:szCs w:val="20"/>
        </w:rPr>
        <w:t xml:space="preserve">Doe v. </w:t>
      </w:r>
      <w:proofErr w:type="spellStart"/>
      <w:r>
        <w:rPr>
          <w:rFonts w:ascii="CIDFont+F1" w:eastAsia="CIDFont+F1" w:hAnsi="CIDFont+F2" w:cs="CIDFont+F1"/>
          <w:sz w:val="20"/>
          <w:szCs w:val="20"/>
        </w:rPr>
        <w:t>Bluecross</w:t>
      </w:r>
      <w:proofErr w:type="spellEnd"/>
      <w:r>
        <w:rPr>
          <w:rFonts w:ascii="CIDFont+F1" w:eastAsia="CIDFont+F1" w:hAnsi="CIDFont+F2" w:cs="CIDFont+F1"/>
          <w:sz w:val="20"/>
          <w:szCs w:val="20"/>
        </w:rPr>
        <w:t xml:space="preserve"> </w:t>
      </w:r>
      <w:proofErr w:type="spellStart"/>
      <w:r>
        <w:rPr>
          <w:rFonts w:ascii="CIDFont+F1" w:eastAsia="CIDFont+F1" w:hAnsi="CIDFont+F2" w:cs="CIDFont+F1"/>
          <w:sz w:val="20"/>
          <w:szCs w:val="20"/>
        </w:rPr>
        <w:t>Blueshield</w:t>
      </w:r>
      <w:proofErr w:type="spellEnd"/>
      <w:r>
        <w:rPr>
          <w:rFonts w:ascii="CIDFont+F2" w:hAnsi="CIDFont+F2" w:cs="CIDFont+F2"/>
          <w:sz w:val="20"/>
          <w:szCs w:val="20"/>
        </w:rPr>
        <w:t>, No. 2:17-cv-</w:t>
      </w:r>
    </w:p>
    <w:p w14:paraId="61D9CE71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1" w:eastAsia="CIDFont+F1" w:hAnsi="CIDFont+F2" w:cs="CIDFont+F1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 xml:space="preserve">02793-TLP-cgc, 2018 WL 3625012 (W.D. Tenn. 2018); </w:t>
      </w:r>
      <w:r>
        <w:rPr>
          <w:rFonts w:ascii="CIDFont+F1" w:eastAsia="CIDFont+F1" w:hAnsi="CIDFont+F2" w:cs="CIDFont+F1"/>
          <w:sz w:val="20"/>
          <w:szCs w:val="20"/>
        </w:rPr>
        <w:t>and Briscoe v. Health Care Serv. Corp.</w:t>
      </w:r>
      <w:r>
        <w:rPr>
          <w:rFonts w:ascii="CIDFont+F2" w:hAnsi="CIDFont+F2" w:cs="CIDFont+F2"/>
          <w:sz w:val="20"/>
          <w:szCs w:val="20"/>
        </w:rPr>
        <w:t>, 281 F. Supp. 3d</w:t>
      </w:r>
      <w:r>
        <w:rPr>
          <w:rFonts w:ascii="CIDFont+F2" w:hAnsi="CIDFont+F2" w:cs="CIDFont+F2"/>
          <w:sz w:val="20"/>
          <w:szCs w:val="20"/>
        </w:rPr>
        <w:t xml:space="preserve"> </w:t>
      </w:r>
      <w:r>
        <w:rPr>
          <w:rFonts w:ascii="CIDFont+F2" w:hAnsi="CIDFont+F2" w:cs="CIDFont+F2"/>
          <w:sz w:val="20"/>
          <w:szCs w:val="20"/>
        </w:rPr>
        <w:t xml:space="preserve">725, 738 (N.D. Ill. 2017), </w:t>
      </w:r>
      <w:r>
        <w:rPr>
          <w:rFonts w:ascii="CIDFont+F1" w:eastAsia="CIDFont+F1" w:hAnsi="CIDFont+F2" w:cs="CIDFont+F1"/>
          <w:sz w:val="20"/>
          <w:szCs w:val="20"/>
        </w:rPr>
        <w:t>with Valencia v. City of Springfield, Ill</w:t>
      </w:r>
      <w:r>
        <w:rPr>
          <w:rFonts w:ascii="CIDFont+F2" w:hAnsi="CIDFont+F2" w:cs="CIDFont+F2"/>
          <w:sz w:val="20"/>
          <w:szCs w:val="20"/>
        </w:rPr>
        <w:t xml:space="preserve">., 883 F.3d 959, 967 (7th Cir. 2018); </w:t>
      </w:r>
      <w:r>
        <w:rPr>
          <w:rFonts w:ascii="CIDFont+F1" w:eastAsia="CIDFont+F1" w:hAnsi="CIDFont+F2" w:cs="CIDFont+F1"/>
          <w:sz w:val="20"/>
          <w:szCs w:val="20"/>
        </w:rPr>
        <w:t>and</w:t>
      </w:r>
    </w:p>
    <w:p w14:paraId="7BD1A1F5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1" w:eastAsia="CIDFont+F1" w:hAnsi="CIDFont+F2" w:cs="CIDFont+F1"/>
          <w:sz w:val="20"/>
          <w:szCs w:val="20"/>
        </w:rPr>
        <w:t>Hollenbeck v. U.S. Olympic Comm</w:t>
      </w:r>
      <w:r>
        <w:rPr>
          <w:rFonts w:ascii="CIDFont+F2" w:hAnsi="CIDFont+F2" w:cs="CIDFont+F2"/>
          <w:sz w:val="20"/>
          <w:szCs w:val="20"/>
        </w:rPr>
        <w:t>. 513 F.3d 1191, 1197 (10th Cir. 2008). To the Department’s knowledge, no</w:t>
      </w:r>
    </w:p>
    <w:p w14:paraId="3757C32D" w14:textId="343F3D33" w:rsidR="00737EB0" w:rsidRDefault="00737EB0" w:rsidP="00737EB0">
      <w:pPr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 xml:space="preserve">disparate impact claims </w:t>
      </w:r>
      <w:proofErr w:type="gramStart"/>
      <w:r>
        <w:rPr>
          <w:rFonts w:ascii="CIDFont+F2" w:hAnsi="CIDFont+F2" w:cs="CIDFont+F2"/>
          <w:sz w:val="20"/>
          <w:szCs w:val="20"/>
        </w:rPr>
        <w:t>on the basis of</w:t>
      </w:r>
      <w:proofErr w:type="gramEnd"/>
      <w:r>
        <w:rPr>
          <w:rFonts w:ascii="CIDFont+F2" w:hAnsi="CIDFont+F2" w:cs="CIDFont+F2"/>
          <w:sz w:val="20"/>
          <w:szCs w:val="20"/>
        </w:rPr>
        <w:t xml:space="preserve"> age have been filed under Section 1557 in a Federal court.</w:t>
      </w:r>
    </w:p>
    <w:p w14:paraId="4391FC4F" w14:textId="52893246" w:rsidR="00737EB0" w:rsidRDefault="00737EB0" w:rsidP="00737EB0">
      <w:pPr>
        <w:rPr>
          <w:rFonts w:ascii="CIDFont+F2" w:hAnsi="CIDFont+F2" w:cs="CIDFont+F2"/>
          <w:sz w:val="20"/>
          <w:szCs w:val="20"/>
        </w:rPr>
      </w:pPr>
    </w:p>
    <w:p w14:paraId="3C0022A6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These judicial interpretations of Section 1557 relied on Congress’s decision to</w:t>
      </w:r>
    </w:p>
    <w:p w14:paraId="6C3E1E42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include a rule of construction in Title IX stating that it does not require educational</w:t>
      </w:r>
    </w:p>
    <w:p w14:paraId="261BAFA8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institutions to use preferential treatment based on a disparate impact basis,</w:t>
      </w:r>
      <w:r>
        <w:rPr>
          <w:rFonts w:ascii="CIDFont+F2" w:hAnsi="CIDFont+F2" w:cs="CIDFont+F2"/>
          <w:sz w:val="16"/>
          <w:szCs w:val="16"/>
        </w:rPr>
        <w:t xml:space="preserve">23 </w:t>
      </w:r>
      <w:r>
        <w:rPr>
          <w:rFonts w:ascii="CIDFont+F2" w:hAnsi="CIDFont+F2" w:cs="CIDFont+F2"/>
          <w:sz w:val="24"/>
          <w:szCs w:val="24"/>
        </w:rPr>
        <w:t>and the U.S.</w:t>
      </w:r>
    </w:p>
    <w:p w14:paraId="0F2E863E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Supreme Court’s decisions precluding a right of action for disparate impact claims under</w:t>
      </w:r>
    </w:p>
    <w:p w14:paraId="06E0B392" w14:textId="3839BFFC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16"/>
          <w:szCs w:val="16"/>
        </w:rPr>
      </w:pPr>
      <w:r>
        <w:rPr>
          <w:rFonts w:ascii="CIDFont+F2" w:hAnsi="CIDFont+F2" w:cs="CIDFont+F2"/>
          <w:sz w:val="24"/>
          <w:szCs w:val="24"/>
        </w:rPr>
        <w:t>Title VI.</w:t>
      </w:r>
      <w:r>
        <w:rPr>
          <w:rFonts w:ascii="CIDFont+F2" w:hAnsi="CIDFont+F2" w:cs="CIDFont+F2"/>
          <w:sz w:val="16"/>
          <w:szCs w:val="16"/>
        </w:rPr>
        <w:t>24</w:t>
      </w:r>
    </w:p>
    <w:p w14:paraId="1A86EE55" w14:textId="4571E6CE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16"/>
          <w:szCs w:val="16"/>
        </w:rPr>
      </w:pPr>
    </w:p>
    <w:p w14:paraId="64F2A61F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13"/>
          <w:szCs w:val="13"/>
        </w:rPr>
        <w:t xml:space="preserve">23 </w:t>
      </w:r>
      <w:r>
        <w:rPr>
          <w:rFonts w:ascii="CIDFont+F2" w:hAnsi="CIDFont+F2" w:cs="CIDFont+F2"/>
          <w:sz w:val="20"/>
          <w:szCs w:val="20"/>
        </w:rPr>
        <w:t>20 U.S.C. 1681(b) (Title IX “[s]hall not [be] construe[d] to require an educational institution to grant</w:t>
      </w:r>
    </w:p>
    <w:p w14:paraId="4BDBD9FD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>preferential or disparate treatment to the members of one sex on account of an imbalance which may exist</w:t>
      </w:r>
    </w:p>
    <w:p w14:paraId="4C4699DF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>with respect to the total number or percentage of persons of that sex participating in or receiving the benefits</w:t>
      </w:r>
    </w:p>
    <w:p w14:paraId="4B89ED7B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>of any Federally supported program or activity, in comparison with the total number or percentage of</w:t>
      </w:r>
    </w:p>
    <w:p w14:paraId="05686FFD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>persons of that sex in any community, State, section, or other area.”).</w:t>
      </w:r>
    </w:p>
    <w:p w14:paraId="129CEA65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13"/>
          <w:szCs w:val="13"/>
        </w:rPr>
        <w:t xml:space="preserve">24 </w:t>
      </w:r>
      <w:r>
        <w:rPr>
          <w:rFonts w:ascii="CIDFont+F1" w:eastAsia="CIDFont+F1" w:hAnsi="CIDFont+F2" w:cs="CIDFont+F1"/>
          <w:sz w:val="20"/>
          <w:szCs w:val="20"/>
        </w:rPr>
        <w:t>Alexander v. Sandoval</w:t>
      </w:r>
      <w:r>
        <w:rPr>
          <w:rFonts w:ascii="CIDFont+F2" w:hAnsi="CIDFont+F2" w:cs="CIDFont+F2"/>
          <w:sz w:val="20"/>
          <w:szCs w:val="20"/>
        </w:rPr>
        <w:t>, 532 U.S. 275, 282 (2001) (holding that private rights of action for disparate impact</w:t>
      </w:r>
    </w:p>
    <w:p w14:paraId="3DB041F4" w14:textId="28D8E1FC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16"/>
          <w:szCs w:val="16"/>
        </w:rPr>
      </w:pPr>
      <w:r>
        <w:rPr>
          <w:rFonts w:ascii="CIDFont+F2" w:hAnsi="CIDFont+F2" w:cs="CIDFont+F2"/>
          <w:sz w:val="20"/>
          <w:szCs w:val="20"/>
        </w:rPr>
        <w:t>are not authorized by Title VI).</w:t>
      </w:r>
    </w:p>
    <w:p w14:paraId="6228B498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16"/>
          <w:szCs w:val="16"/>
        </w:rPr>
      </w:pPr>
    </w:p>
    <w:p w14:paraId="7555A09B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lastRenderedPageBreak/>
        <w:t>The Final Rule also stated that compensatory damages are available in appropriate</w:t>
      </w:r>
    </w:p>
    <w:p w14:paraId="70FF5FD4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administrative and judicial actions under the Section 1557 Regulation, 45 CFR § 92.301(b),</w:t>
      </w:r>
    </w:p>
    <w:p w14:paraId="100C3C3C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and the Department stated in its preamble that this was added “to make clear in the</w:t>
      </w:r>
    </w:p>
    <w:p w14:paraId="406F72C8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regulation that compensatory damages are available. Our interpretation of Section 1557 as</w:t>
      </w:r>
    </w:p>
    <w:p w14:paraId="0E934A36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authorizing compensatory damages is consistent with our interpretations of Title VI,</w:t>
      </w:r>
    </w:p>
    <w:p w14:paraId="4392AE24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Section 504, and Title IX,” 81 FR at 31440. However, the Department of Justice’s Title VI</w:t>
      </w:r>
    </w:p>
    <w:p w14:paraId="6D2F8194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Manual states that, under applicable Federal case law, compensatory damages are</w:t>
      </w:r>
    </w:p>
    <w:p w14:paraId="745A7D85" w14:textId="23624A5A" w:rsidR="00737EB0" w:rsidRDefault="00737EB0" w:rsidP="00737EB0">
      <w:pPr>
        <w:rPr>
          <w:rFonts w:ascii="CIDFont+F2" w:hAnsi="CIDFont+F2" w:cs="CIDFont+F2"/>
          <w:sz w:val="16"/>
          <w:szCs w:val="16"/>
        </w:rPr>
      </w:pPr>
      <w:r>
        <w:rPr>
          <w:rFonts w:ascii="CIDFont+F2" w:hAnsi="CIDFont+F2" w:cs="CIDFont+F2"/>
          <w:sz w:val="24"/>
          <w:szCs w:val="24"/>
        </w:rPr>
        <w:t>generally unavailable for claims based solely on an agency’s disparate impact regulations.</w:t>
      </w:r>
      <w:r>
        <w:rPr>
          <w:rFonts w:ascii="CIDFont+F2" w:hAnsi="CIDFont+F2" w:cs="CIDFont+F2"/>
          <w:sz w:val="16"/>
          <w:szCs w:val="16"/>
        </w:rPr>
        <w:t>25</w:t>
      </w:r>
    </w:p>
    <w:p w14:paraId="71C5567F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color w:val="000000"/>
          <w:sz w:val="20"/>
          <w:szCs w:val="20"/>
        </w:rPr>
      </w:pPr>
      <w:r>
        <w:rPr>
          <w:rFonts w:ascii="CIDFont+F2" w:hAnsi="CIDFont+F2" w:cs="CIDFont+F2"/>
          <w:color w:val="000000"/>
          <w:sz w:val="13"/>
          <w:szCs w:val="13"/>
        </w:rPr>
        <w:t xml:space="preserve">25 </w:t>
      </w:r>
      <w:r>
        <w:rPr>
          <w:rFonts w:ascii="CIDFont+F2" w:hAnsi="CIDFont+F2" w:cs="CIDFont+F2"/>
          <w:color w:val="000000"/>
          <w:sz w:val="20"/>
          <w:szCs w:val="20"/>
        </w:rPr>
        <w:t xml:space="preserve">DOJ Title VI manual, </w:t>
      </w:r>
      <w:r>
        <w:rPr>
          <w:rFonts w:ascii="CIDFont+F2" w:hAnsi="CIDFont+F2" w:cs="CIDFont+F2"/>
          <w:color w:val="0000FF"/>
          <w:sz w:val="20"/>
          <w:szCs w:val="20"/>
        </w:rPr>
        <w:t xml:space="preserve">https://www.justice.gov/crt/fcs/T6Manual9 </w:t>
      </w:r>
      <w:r>
        <w:rPr>
          <w:rFonts w:ascii="CIDFont+F2" w:hAnsi="CIDFont+F2" w:cs="CIDFont+F2"/>
          <w:color w:val="000000"/>
          <w:sz w:val="20"/>
          <w:szCs w:val="20"/>
        </w:rPr>
        <w:t xml:space="preserve">(citing </w:t>
      </w:r>
      <w:r>
        <w:rPr>
          <w:rFonts w:ascii="CIDFont+F1" w:eastAsia="CIDFont+F1" w:hAnsi="CIDFont+F2" w:cs="CIDFont+F1"/>
          <w:color w:val="000000"/>
          <w:sz w:val="20"/>
          <w:szCs w:val="20"/>
        </w:rPr>
        <w:t>Alexander v. Sandoval</w:t>
      </w:r>
      <w:r>
        <w:rPr>
          <w:rFonts w:ascii="CIDFont+F2" w:hAnsi="CIDFont+F2" w:cs="CIDFont+F2"/>
          <w:color w:val="000000"/>
          <w:sz w:val="20"/>
          <w:szCs w:val="20"/>
        </w:rPr>
        <w:t>, 532 U.S.</w:t>
      </w:r>
    </w:p>
    <w:p w14:paraId="0CCB3551" w14:textId="1274B629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16"/>
          <w:szCs w:val="16"/>
        </w:rPr>
      </w:pPr>
      <w:r>
        <w:rPr>
          <w:rFonts w:ascii="CIDFont+F2" w:hAnsi="CIDFont+F2" w:cs="CIDFont+F2"/>
          <w:color w:val="000000"/>
          <w:sz w:val="20"/>
          <w:szCs w:val="20"/>
        </w:rPr>
        <w:t xml:space="preserve">275, 282-83 (2001), </w:t>
      </w:r>
      <w:r>
        <w:rPr>
          <w:rFonts w:ascii="CIDFont+F1" w:eastAsia="CIDFont+F1" w:hAnsi="CIDFont+F2" w:cs="CIDFont+F1"/>
          <w:color w:val="000000"/>
          <w:sz w:val="20"/>
          <w:szCs w:val="20"/>
        </w:rPr>
        <w:t>Barnes v. Gorman</w:t>
      </w:r>
      <w:r>
        <w:rPr>
          <w:rFonts w:ascii="CIDFont+F2" w:hAnsi="CIDFont+F2" w:cs="CIDFont+F2"/>
          <w:color w:val="000000"/>
          <w:sz w:val="20"/>
          <w:szCs w:val="20"/>
        </w:rPr>
        <w:t xml:space="preserve">, 536 U.S. 181, 187 (2002), and </w:t>
      </w:r>
      <w:proofErr w:type="spellStart"/>
      <w:r>
        <w:rPr>
          <w:rFonts w:ascii="CIDFont+F1" w:eastAsia="CIDFont+F1" w:hAnsi="CIDFont+F2" w:cs="CIDFont+F1"/>
          <w:color w:val="000000"/>
          <w:sz w:val="20"/>
          <w:szCs w:val="20"/>
        </w:rPr>
        <w:t>Gebser</w:t>
      </w:r>
      <w:proofErr w:type="spellEnd"/>
      <w:r>
        <w:rPr>
          <w:rFonts w:ascii="CIDFont+F1" w:eastAsia="CIDFont+F1" w:hAnsi="CIDFont+F2" w:cs="CIDFont+F1"/>
          <w:color w:val="000000"/>
          <w:sz w:val="20"/>
          <w:szCs w:val="20"/>
        </w:rPr>
        <w:t xml:space="preserve"> v. Lago Vista </w:t>
      </w:r>
      <w:proofErr w:type="spellStart"/>
      <w:r>
        <w:rPr>
          <w:rFonts w:ascii="CIDFont+F1" w:eastAsia="CIDFont+F1" w:hAnsi="CIDFont+F2" w:cs="CIDFont+F1"/>
          <w:color w:val="000000"/>
          <w:sz w:val="20"/>
          <w:szCs w:val="20"/>
        </w:rPr>
        <w:t>Indep</w:t>
      </w:r>
      <w:proofErr w:type="spellEnd"/>
      <w:r>
        <w:rPr>
          <w:rFonts w:ascii="CIDFont+F1" w:eastAsia="CIDFont+F1" w:hAnsi="CIDFont+F2" w:cs="CIDFont+F1"/>
          <w:color w:val="000000"/>
          <w:sz w:val="20"/>
          <w:szCs w:val="20"/>
        </w:rPr>
        <w:t>. Sch</w:t>
      </w:r>
      <w:r>
        <w:rPr>
          <w:rFonts w:ascii="CIDFont+F2" w:hAnsi="CIDFont+F2" w:cs="CIDFont+F2"/>
          <w:color w:val="000000"/>
          <w:sz w:val="20"/>
          <w:szCs w:val="20"/>
        </w:rPr>
        <w:t>., 524 U.S.</w:t>
      </w:r>
      <w:r>
        <w:rPr>
          <w:rFonts w:ascii="CIDFont+F2" w:hAnsi="CIDFont+F2" w:cs="CIDFont+F2"/>
          <w:color w:val="000000"/>
          <w:sz w:val="20"/>
          <w:szCs w:val="20"/>
        </w:rPr>
        <w:t xml:space="preserve"> </w:t>
      </w:r>
      <w:r>
        <w:rPr>
          <w:rFonts w:ascii="CIDFont+F2" w:hAnsi="CIDFont+F2" w:cs="CIDFont+F2"/>
          <w:color w:val="000000"/>
          <w:sz w:val="20"/>
          <w:szCs w:val="20"/>
        </w:rPr>
        <w:t>274, 87 (1998)).</w:t>
      </w:r>
    </w:p>
    <w:p w14:paraId="3F844C24" w14:textId="5169E5B5" w:rsidR="00737EB0" w:rsidRDefault="00737EB0" w:rsidP="00737EB0">
      <w:pPr>
        <w:rPr>
          <w:rFonts w:ascii="CIDFont+F2" w:hAnsi="CIDFont+F2" w:cs="CIDFont+F2"/>
          <w:sz w:val="16"/>
          <w:szCs w:val="16"/>
        </w:rPr>
      </w:pPr>
    </w:p>
    <w:p w14:paraId="3294E0EC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The Final Rule also newly extended provisions applicable only to some of the</w:t>
      </w:r>
    </w:p>
    <w:p w14:paraId="14857F3A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 xml:space="preserve">underlying civil rights laws to apply to </w:t>
      </w:r>
      <w:proofErr w:type="gramStart"/>
      <w:r>
        <w:rPr>
          <w:rFonts w:ascii="CIDFont+F2" w:hAnsi="CIDFont+F2" w:cs="CIDFont+F2"/>
          <w:sz w:val="24"/>
          <w:szCs w:val="24"/>
        </w:rPr>
        <w:t>all of</w:t>
      </w:r>
      <w:proofErr w:type="gramEnd"/>
      <w:r>
        <w:rPr>
          <w:rFonts w:ascii="CIDFont+F2" w:hAnsi="CIDFont+F2" w:cs="CIDFont+F2"/>
          <w:sz w:val="24"/>
          <w:szCs w:val="24"/>
        </w:rPr>
        <w:t xml:space="preserve"> the prohibited bases of discrimination under</w:t>
      </w:r>
    </w:p>
    <w:p w14:paraId="606E7E1A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Section 1557. For example, although only the Section 504 (disability) and Title IX (sex)</w:t>
      </w:r>
    </w:p>
    <w:p w14:paraId="09E8A7D4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regulations prohibit recipients from perpetuating discrimination by providing significant</w:t>
      </w:r>
    </w:p>
    <w:p w14:paraId="3D7B3793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assistance to any agency, organization, or person that discriminates, the Final Rule</w:t>
      </w:r>
    </w:p>
    <w:p w14:paraId="3B0FC7C9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extended this prohibition to Title VI and Age Act claims under Section 1557.</w:t>
      </w:r>
      <w:r>
        <w:rPr>
          <w:rFonts w:ascii="CIDFont+F2" w:hAnsi="CIDFont+F2" w:cs="CIDFont+F2"/>
          <w:sz w:val="16"/>
          <w:szCs w:val="16"/>
        </w:rPr>
        <w:t xml:space="preserve">26 </w:t>
      </w:r>
      <w:r>
        <w:rPr>
          <w:rFonts w:ascii="CIDFont+F2" w:hAnsi="CIDFont+F2" w:cs="CIDFont+F2"/>
          <w:sz w:val="24"/>
          <w:szCs w:val="24"/>
        </w:rPr>
        <w:t>The Section</w:t>
      </w:r>
    </w:p>
    <w:p w14:paraId="67704B80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1557 Regulation similarly extended the prohibition, in the Title VI, Section 504, and Age</w:t>
      </w:r>
    </w:p>
    <w:p w14:paraId="5A0D5367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Discrimination Act regulations, on the utilization of criteria or methods of administration</w:t>
      </w:r>
    </w:p>
    <w:p w14:paraId="4C457175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that have the effect of subjecting individuals to discrimination, to claims of discrimination</w:t>
      </w:r>
    </w:p>
    <w:p w14:paraId="1F1E6395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proofErr w:type="gramStart"/>
      <w:r>
        <w:rPr>
          <w:rFonts w:ascii="CIDFont+F2" w:hAnsi="CIDFont+F2" w:cs="CIDFont+F2"/>
          <w:sz w:val="24"/>
          <w:szCs w:val="24"/>
        </w:rPr>
        <w:t>on the basis of</w:t>
      </w:r>
      <w:proofErr w:type="gramEnd"/>
      <w:r>
        <w:rPr>
          <w:rFonts w:ascii="CIDFont+F2" w:hAnsi="CIDFont+F2" w:cs="CIDFont+F2"/>
          <w:sz w:val="24"/>
          <w:szCs w:val="24"/>
        </w:rPr>
        <w:t xml:space="preserve"> sex under Section 1557, although that prohibition is not included in the Title</w:t>
      </w:r>
    </w:p>
    <w:p w14:paraId="669E286B" w14:textId="66670022" w:rsidR="00737EB0" w:rsidRDefault="00737EB0" w:rsidP="00737EB0">
      <w:pPr>
        <w:rPr>
          <w:rFonts w:ascii="CIDFont+F2" w:hAnsi="CIDFont+F2" w:cs="CIDFont+F2"/>
          <w:sz w:val="16"/>
          <w:szCs w:val="16"/>
        </w:rPr>
      </w:pPr>
      <w:r>
        <w:rPr>
          <w:rFonts w:ascii="CIDFont+F2" w:hAnsi="CIDFont+F2" w:cs="CIDFont+F2"/>
          <w:sz w:val="24"/>
          <w:szCs w:val="24"/>
        </w:rPr>
        <w:t>IX regulations.</w:t>
      </w:r>
      <w:r>
        <w:rPr>
          <w:rFonts w:ascii="CIDFont+F2" w:hAnsi="CIDFont+F2" w:cs="CIDFont+F2"/>
          <w:sz w:val="16"/>
          <w:szCs w:val="16"/>
        </w:rPr>
        <w:t>27</w:t>
      </w:r>
    </w:p>
    <w:p w14:paraId="57156BE0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13"/>
          <w:szCs w:val="13"/>
        </w:rPr>
        <w:t xml:space="preserve">26 </w:t>
      </w:r>
      <w:r>
        <w:rPr>
          <w:rFonts w:ascii="CIDFont+F1" w:eastAsia="CIDFont+F1" w:hAnsi="CIDFont+F2" w:cs="CIDFont+F1"/>
          <w:sz w:val="20"/>
          <w:szCs w:val="20"/>
        </w:rPr>
        <w:t xml:space="preserve">See </w:t>
      </w:r>
      <w:r>
        <w:rPr>
          <w:rFonts w:ascii="CIDFont+F2" w:hAnsi="CIDFont+F2" w:cs="CIDFont+F2"/>
          <w:sz w:val="20"/>
          <w:szCs w:val="20"/>
        </w:rPr>
        <w:t xml:space="preserve">45 CFR § 84.4(b)(1)(v) (Section 504), 86.23(b)(7) (Title IX). </w:t>
      </w:r>
      <w:r>
        <w:rPr>
          <w:rFonts w:ascii="CIDFont+F1" w:eastAsia="CIDFont+F1" w:hAnsi="CIDFont+F2" w:cs="CIDFont+F1"/>
          <w:sz w:val="20"/>
          <w:szCs w:val="20"/>
        </w:rPr>
        <w:t xml:space="preserve">But see </w:t>
      </w:r>
      <w:r>
        <w:rPr>
          <w:rFonts w:ascii="CIDFont+F2" w:hAnsi="CIDFont+F2" w:cs="CIDFont+F2"/>
          <w:sz w:val="20"/>
          <w:szCs w:val="20"/>
        </w:rPr>
        <w:t>45 CFR § 92.101(a)(4)(ii)</w:t>
      </w:r>
    </w:p>
    <w:p w14:paraId="6BD851DB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>(extended to age under Section 1557 Regulation), § 92.101(b)(1)(ii) (extended to race, color or national</w:t>
      </w:r>
    </w:p>
    <w:p w14:paraId="64C92476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>origin under Section 1557 Regulation).</w:t>
      </w:r>
    </w:p>
    <w:p w14:paraId="13889DE8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13"/>
          <w:szCs w:val="13"/>
        </w:rPr>
        <w:t xml:space="preserve">27 </w:t>
      </w:r>
      <w:r>
        <w:rPr>
          <w:rFonts w:ascii="CIDFont+F1" w:eastAsia="CIDFont+F1" w:hAnsi="CIDFont+F2" w:cs="CIDFont+F1"/>
          <w:sz w:val="20"/>
          <w:szCs w:val="20"/>
        </w:rPr>
        <w:t xml:space="preserve">See </w:t>
      </w:r>
      <w:r>
        <w:rPr>
          <w:rFonts w:ascii="CIDFont+F2" w:hAnsi="CIDFont+F2" w:cs="CIDFont+F2"/>
          <w:sz w:val="20"/>
          <w:szCs w:val="20"/>
        </w:rPr>
        <w:t xml:space="preserve">45 CFR § 80.3(b)(2) (Title VI), § 84.4(b)(4) (Section 504), § 91.11(b) (Age Act). </w:t>
      </w:r>
      <w:r>
        <w:rPr>
          <w:rFonts w:ascii="CIDFont+F1" w:eastAsia="CIDFont+F1" w:hAnsi="CIDFont+F2" w:cs="CIDFont+F1"/>
          <w:sz w:val="20"/>
          <w:szCs w:val="20"/>
        </w:rPr>
        <w:t xml:space="preserve">But see </w:t>
      </w:r>
      <w:r>
        <w:rPr>
          <w:rFonts w:ascii="CIDFont+F2" w:hAnsi="CIDFont+F2" w:cs="CIDFont+F2"/>
          <w:sz w:val="20"/>
          <w:szCs w:val="20"/>
        </w:rPr>
        <w:t>45 CFR §</w:t>
      </w:r>
    </w:p>
    <w:p w14:paraId="187CF87D" w14:textId="603AD63C" w:rsidR="00737EB0" w:rsidRDefault="00737EB0" w:rsidP="00737EB0">
      <w:pPr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>92.101(b)(3)(ii) (extended to sex under Section 1557 Regulation).</w:t>
      </w:r>
    </w:p>
    <w:p w14:paraId="4C39B674" w14:textId="5D19673E" w:rsidR="00737EB0" w:rsidRDefault="00737EB0" w:rsidP="00737EB0">
      <w:pPr>
        <w:rPr>
          <w:rFonts w:ascii="CIDFont+F2" w:hAnsi="CIDFont+F2" w:cs="CIDFont+F2"/>
          <w:sz w:val="20"/>
          <w:szCs w:val="20"/>
        </w:rPr>
      </w:pPr>
    </w:p>
    <w:p w14:paraId="329A8CF7" w14:textId="6E1EB898" w:rsidR="00737EB0" w:rsidRDefault="00737EB0" w:rsidP="00737EB0">
      <w:pPr>
        <w:rPr>
          <w:rFonts w:ascii="CIDFont+F2" w:hAnsi="CIDFont+F2" w:cs="CIDFont+F2"/>
          <w:sz w:val="20"/>
          <w:szCs w:val="20"/>
        </w:rPr>
      </w:pPr>
    </w:p>
    <w:p w14:paraId="51749F40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The Final Rule asserted that private parties have the right to challenge a violation of</w:t>
      </w:r>
    </w:p>
    <w:p w14:paraId="020E39DD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Section 1557 or the Final Rule in Federal court, independent of OCR enforcement or</w:t>
      </w:r>
    </w:p>
    <w:p w14:paraId="76CE7E11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involvement. 45 CFR § 92.302(d). In the preamble to the Final Rule, the Department</w:t>
      </w:r>
    </w:p>
    <w:p w14:paraId="6AC74783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estimated that the ability for private parties to sue under the Final Rule would result in</w:t>
      </w:r>
    </w:p>
    <w:p w14:paraId="7A0F6EBD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covered entities bearing increased compliance costs. 81 FR at 31395 (“the presence of a</w:t>
      </w:r>
    </w:p>
    <w:p w14:paraId="3D183622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 xml:space="preserve">coordinator and grievance procedure </w:t>
      </w:r>
      <w:proofErr w:type="gramStart"/>
      <w:r>
        <w:rPr>
          <w:rFonts w:ascii="CIDFont+F2" w:hAnsi="CIDFont+F2" w:cs="CIDFont+F2"/>
          <w:sz w:val="24"/>
          <w:szCs w:val="24"/>
        </w:rPr>
        <w:t>enhances</w:t>
      </w:r>
      <w:proofErr w:type="gramEnd"/>
      <w:r>
        <w:rPr>
          <w:rFonts w:ascii="CIDFont+F2" w:hAnsi="CIDFont+F2" w:cs="CIDFont+F2"/>
          <w:sz w:val="24"/>
          <w:szCs w:val="24"/>
        </w:rPr>
        <w:t xml:space="preserve"> the covered entity’s accountability and</w:t>
      </w:r>
    </w:p>
    <w:p w14:paraId="64E1785D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helps bring concerns to prompt resolution, oftentimes prior to an individual bringing a</w:t>
      </w:r>
    </w:p>
    <w:p w14:paraId="38D36299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private right of action.”). The injunction does not apply to suits filed by private parties.</w:t>
      </w:r>
    </w:p>
    <w:p w14:paraId="207A671E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Although the Supreme Court has recognized a private right of action for some civil</w:t>
      </w:r>
    </w:p>
    <w:p w14:paraId="12D2B415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rights statutes enforced by the Department, with the proposed rule change, the Department</w:t>
      </w:r>
    </w:p>
    <w:p w14:paraId="3853365D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would no longer assert that a private right of action exists for parties to sue covered</w:t>
      </w:r>
    </w:p>
    <w:p w14:paraId="6B59521E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lastRenderedPageBreak/>
        <w:t>entities for any and all alleged violations of the proposed rule. The Department would no</w:t>
      </w:r>
    </w:p>
    <w:p w14:paraId="5CB03BE9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longer take a position on that issue in its regulations, leaving the matter as primarily one</w:t>
      </w:r>
    </w:p>
    <w:p w14:paraId="6FF752F3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for the courts to decide. Additionally, by virtue of rescinding the definitions from the</w:t>
      </w:r>
    </w:p>
    <w:p w14:paraId="7E363766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regulatory text, the proposed rule would remove the expansive inclusion of gender identity</w:t>
      </w:r>
    </w:p>
    <w:p w14:paraId="00F83F77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and sex stereotyping in the definition of sex discrimination as substantive grounds for a</w:t>
      </w:r>
    </w:p>
    <w:p w14:paraId="4EA77200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private right of action alleging such violations by covered entities. As a result, a certain</w:t>
      </w:r>
    </w:p>
    <w:p w14:paraId="08CD4591" w14:textId="77777777" w:rsidR="00737EB0" w:rsidRDefault="00737EB0" w:rsidP="00737EB0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number of covered entities that are currently incurring grievance-related costs related to</w:t>
      </w:r>
    </w:p>
    <w:p w14:paraId="2B9C8965" w14:textId="0488DB63" w:rsidR="00737EB0" w:rsidRDefault="00737EB0" w:rsidP="00737EB0">
      <w:pPr>
        <w:rPr>
          <w:rFonts w:ascii="CIDFont+F2" w:hAnsi="CIDFont+F2" w:cs="CIDFont+F2"/>
          <w:sz w:val="24"/>
          <w:szCs w:val="24"/>
        </w:rPr>
      </w:pPr>
      <w:r>
        <w:rPr>
          <w:rFonts w:ascii="CIDFont+F2" w:hAnsi="CIDFont+F2" w:cs="CIDFont+F2"/>
          <w:sz w:val="24"/>
          <w:szCs w:val="24"/>
        </w:rPr>
        <w:t>these claims may no longer incur such costs under the proposed rule.</w:t>
      </w:r>
    </w:p>
    <w:p w14:paraId="115504BD" w14:textId="77777777" w:rsidR="00737EB0" w:rsidRDefault="00737EB0" w:rsidP="00737EB0">
      <w:pPr>
        <w:rPr>
          <w:rFonts w:ascii="CIDFont+F2" w:hAnsi="CIDFont+F2" w:cs="CIDFont+F2"/>
          <w:sz w:val="16"/>
          <w:szCs w:val="16"/>
        </w:rPr>
      </w:pPr>
    </w:p>
    <w:bookmarkEnd w:id="0"/>
    <w:p w14:paraId="6EE43763" w14:textId="77777777" w:rsidR="00737EB0" w:rsidRDefault="00737EB0" w:rsidP="00737EB0"/>
    <w:sectPr w:rsidR="00737E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1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EB0"/>
    <w:rsid w:val="00376FA8"/>
    <w:rsid w:val="00737EB0"/>
    <w:rsid w:val="00932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53FBF"/>
  <w15:chartTrackingRefBased/>
  <w15:docId w15:val="{D322356D-C737-4644-AD44-57D3CC44F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1113</Words>
  <Characters>6348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Regan</dc:creator>
  <cp:keywords/>
  <dc:description/>
  <cp:lastModifiedBy>Mark Regan</cp:lastModifiedBy>
  <cp:revision>1</cp:revision>
  <dcterms:created xsi:type="dcterms:W3CDTF">2019-05-26T16:01:00Z</dcterms:created>
  <dcterms:modified xsi:type="dcterms:W3CDTF">2019-05-26T16:09:00Z</dcterms:modified>
</cp:coreProperties>
</file>