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DBF093" w14:textId="77777777" w:rsidR="00000000" w:rsidRDefault="00896AE4">
      <w:pPr>
        <w:widowControl w:val="0"/>
        <w:autoSpaceDE w:val="0"/>
        <w:autoSpaceDN w:val="0"/>
        <w:adjustRightInd w:val="0"/>
        <w:spacing w:after="0" w:line="240" w:lineRule="auto"/>
        <w:rPr>
          <w:rFonts w:ascii="Times New Roman" w:hAnsi="Times New Roman"/>
          <w:color w:val="000000"/>
          <w:sz w:val="24"/>
          <w:szCs w:val="24"/>
        </w:rPr>
      </w:pPr>
    </w:p>
    <w:p w14:paraId="31A8EA6E" w14:textId="77777777" w:rsidR="00000000" w:rsidRDefault="00896AE4">
      <w:pPr>
        <w:widowControl w:val="0"/>
        <w:autoSpaceDE w:val="0"/>
        <w:autoSpaceDN w:val="0"/>
        <w:adjustRightInd w:val="0"/>
        <w:spacing w:after="0" w:line="240" w:lineRule="auto"/>
        <w:rPr>
          <w:rFonts w:ascii="Arial" w:hAnsi="Arial" w:cs="Arial"/>
          <w:sz w:val="24"/>
          <w:szCs w:val="24"/>
        </w:rPr>
        <w:sectPr w:rsidR="00000000">
          <w:headerReference w:type="default" r:id="rId7"/>
          <w:footerReference w:type="default" r:id="rId8"/>
          <w:pgSz w:w="12240" w:h="15840"/>
          <w:pgMar w:top="1080" w:right="1080" w:bottom="1080" w:left="1080" w:header="720" w:footer="720" w:gutter="0"/>
          <w:cols w:space="720"/>
          <w:noEndnote/>
        </w:sectPr>
      </w:pPr>
    </w:p>
    <w:p w14:paraId="38364C30"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0" w:name="co_document_1"/>
      <w:bookmarkStart w:id="1" w:name="I82520ed09cc011d9a707f4371c9c34f0_Target"/>
      <w:bookmarkEnd w:id="0"/>
      <w:bookmarkEnd w:id="1"/>
    </w:p>
    <w:p w14:paraId="16159931" w14:textId="77777777" w:rsidR="00000000" w:rsidRDefault="00896AE4">
      <w:pPr>
        <w:widowControl w:val="0"/>
        <w:autoSpaceDE w:val="0"/>
        <w:autoSpaceDN w:val="0"/>
        <w:adjustRightInd w:val="0"/>
        <w:spacing w:after="0" w:line="240" w:lineRule="auto"/>
        <w:jc w:val="both"/>
        <w:rPr>
          <w:rFonts w:ascii="Times New Roman" w:hAnsi="Times New Roman"/>
          <w:color w:val="000000"/>
          <w:sz w:val="16"/>
          <w:szCs w:val="16"/>
        </w:rPr>
      </w:pPr>
      <w:bookmarkStart w:id="2" w:name="co_readingModeKC_1"/>
      <w:bookmarkEnd w:id="2"/>
    </w:p>
    <w:bookmarkStart w:id="3" w:name="co_readingModeCitatorFlag_1"/>
    <w:bookmarkEnd w:id="3"/>
    <w:p w14:paraId="55A2B8C7" w14:textId="77777777" w:rsidR="00000000" w:rsidRDefault="00896AE4">
      <w:pPr>
        <w:widowControl w:val="0"/>
        <w:autoSpaceDE w:val="0"/>
        <w:autoSpaceDN w:val="0"/>
        <w:adjustRightInd w:val="0"/>
        <w:spacing w:after="0" w:line="240" w:lineRule="auto"/>
        <w:jc w:val="both"/>
        <w:rPr>
          <w:rFonts w:ascii="Times New Roman" w:hAnsi="Times New Roman"/>
          <w:color w:val="000000"/>
          <w:sz w:val="16"/>
          <w:szCs w:val="16"/>
        </w:rPr>
      </w:pPr>
      <w:r>
        <w:rPr>
          <w:rFonts w:ascii="Times New Roman" w:hAnsi="Times New Roman"/>
          <w:color w:val="000000"/>
          <w:sz w:val="16"/>
          <w:szCs w:val="16"/>
        </w:rPr>
        <w:fldChar w:fldCharType="begin"/>
      </w:r>
      <w:r>
        <w:rPr>
          <w:rFonts w:ascii="Times New Roman" w:hAnsi="Times New Roman"/>
          <w:color w:val="000000"/>
          <w:sz w:val="16"/>
          <w:szCs w:val="16"/>
        </w:rPr>
        <w:instrText>HYPERLINK "http://www.westlaw.com/Link/RelatedInformation/Flag?documentGuid=I82520ed09cc011d9a707f4371c9c34f0&amp;transitionType=Document&amp;originationContext=docHeaderFla</w:instrText>
      </w:r>
      <w:r>
        <w:rPr>
          <w:rFonts w:ascii="Times New Roman" w:hAnsi="Times New Roman"/>
          <w:color w:val="000000"/>
          <w:sz w:val="16"/>
          <w:szCs w:val="16"/>
        </w:rPr>
        <w:instrText xml:space="preserve">g&amp;Rank=1&amp;rs=cblt1.0&amp;vr=3.0&amp;contextData=(sc.Search)" </w:instrText>
      </w:r>
      <w:r w:rsidR="00C40BA5">
        <w:rPr>
          <w:rFonts w:ascii="Times New Roman" w:hAnsi="Times New Roman"/>
          <w:color w:val="000000"/>
          <w:sz w:val="16"/>
          <w:szCs w:val="16"/>
        </w:rPr>
      </w:r>
      <w:r>
        <w:rPr>
          <w:rFonts w:ascii="Times New Roman" w:hAnsi="Times New Roman"/>
          <w:color w:val="000000"/>
          <w:sz w:val="16"/>
          <w:szCs w:val="16"/>
        </w:rPr>
        <w:fldChar w:fldCharType="separate"/>
      </w:r>
      <w:r>
        <w:rPr>
          <w:rFonts w:ascii="Times New Roman" w:hAnsi="Times New Roman"/>
          <w:color w:val="000000"/>
          <w:sz w:val="16"/>
          <w:szCs w:val="16"/>
        </w:rPr>
        <w:pict w14:anchorId="1597F6D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75pt;height:12.75pt">
            <v:imagedata r:id="rId9" o:title=""/>
          </v:shape>
        </w:pict>
      </w:r>
      <w:r>
        <w:rPr>
          <w:rFonts w:ascii="Times New Roman" w:hAnsi="Times New Roman"/>
          <w:color w:val="000000"/>
          <w:sz w:val="16"/>
          <w:szCs w:val="16"/>
        </w:rPr>
        <w:fldChar w:fldCharType="end"/>
      </w:r>
      <w:r>
        <w:rPr>
          <w:rFonts w:ascii="Times New Roman" w:hAnsi="Times New Roman"/>
          <w:color w:val="000000"/>
          <w:sz w:val="16"/>
          <w:szCs w:val="16"/>
        </w:rPr>
        <w:t>KeyCite Yellow Flag - Negative Treatment</w:t>
      </w:r>
    </w:p>
    <w:p w14:paraId="5E978B2C" w14:textId="77777777" w:rsidR="00000000" w:rsidRDefault="00896AE4">
      <w:pPr>
        <w:widowControl w:val="0"/>
        <w:numPr>
          <w:ilvl w:val="0"/>
          <w:numId w:val="1"/>
        </w:numPr>
        <w:autoSpaceDE w:val="0"/>
        <w:autoSpaceDN w:val="0"/>
        <w:adjustRightInd w:val="0"/>
        <w:spacing w:after="0" w:line="240" w:lineRule="auto"/>
        <w:ind w:hanging="360"/>
        <w:jc w:val="both"/>
        <w:rPr>
          <w:rFonts w:ascii="Times New Roman" w:hAnsi="Times New Roman"/>
          <w:color w:val="000000"/>
          <w:sz w:val="16"/>
          <w:szCs w:val="16"/>
        </w:rPr>
      </w:pPr>
      <w:bookmarkStart w:id="4" w:name="co_readingModeNegativeTreatment_1"/>
      <w:bookmarkEnd w:id="4"/>
      <w:r>
        <w:rPr>
          <w:rFonts w:ascii="Times New Roman" w:hAnsi="Times New Roman"/>
          <w:color w:val="000000"/>
          <w:sz w:val="16"/>
          <w:szCs w:val="16"/>
        </w:rPr>
        <w:t xml:space="preserve">Overruling Recognized by </w:t>
      </w:r>
      <w:hyperlink r:id="rId10" w:history="1">
        <w:r>
          <w:rPr>
            <w:rFonts w:ascii="Times New Roman" w:hAnsi="Times New Roman"/>
            <w:color w:val="0000FF"/>
            <w:sz w:val="16"/>
            <w:szCs w:val="16"/>
          </w:rPr>
          <w:t xml:space="preserve">Stilp v. Com., </w:t>
        </w:r>
      </w:hyperlink>
      <w:r>
        <w:rPr>
          <w:rFonts w:ascii="Times New Roman" w:hAnsi="Times New Roman"/>
          <w:color w:val="000000"/>
          <w:sz w:val="16"/>
          <w:szCs w:val="16"/>
        </w:rPr>
        <w:t>Pa., September 14, 2006</w:t>
      </w:r>
    </w:p>
    <w:p w14:paraId="76C311DD" w14:textId="77777777" w:rsidR="00000000" w:rsidRDefault="00896AE4">
      <w:pPr>
        <w:widowControl w:val="0"/>
        <w:autoSpaceDE w:val="0"/>
        <w:autoSpaceDN w:val="0"/>
        <w:adjustRightInd w:val="0"/>
        <w:spacing w:after="0" w:line="240" w:lineRule="auto"/>
        <w:jc w:val="center"/>
        <w:rPr>
          <w:rFonts w:ascii="Georgia" w:hAnsi="Georgia" w:cs="Georgia"/>
          <w:color w:val="000000"/>
          <w:sz w:val="20"/>
          <w:szCs w:val="20"/>
        </w:rPr>
      </w:pPr>
      <w:r>
        <w:rPr>
          <w:rFonts w:ascii="Georgia" w:hAnsi="Georgia" w:cs="Georgia"/>
          <w:color w:val="000000"/>
          <w:sz w:val="20"/>
          <w:szCs w:val="20"/>
        </w:rPr>
        <w:t>52 S.Ct. 559</w:t>
      </w:r>
    </w:p>
    <w:p w14:paraId="3491474B" w14:textId="77777777" w:rsidR="00000000" w:rsidRDefault="00896AE4">
      <w:pPr>
        <w:widowControl w:val="0"/>
        <w:autoSpaceDE w:val="0"/>
        <w:autoSpaceDN w:val="0"/>
        <w:adjustRightInd w:val="0"/>
        <w:spacing w:after="0" w:line="240" w:lineRule="auto"/>
        <w:jc w:val="center"/>
        <w:rPr>
          <w:rFonts w:ascii="Georgia" w:hAnsi="Georgia" w:cs="Georgia"/>
          <w:color w:val="000000"/>
          <w:sz w:val="20"/>
          <w:szCs w:val="20"/>
        </w:rPr>
      </w:pPr>
      <w:r>
        <w:rPr>
          <w:rFonts w:ascii="Georgia" w:hAnsi="Georgia" w:cs="Georgia"/>
          <w:color w:val="000000"/>
          <w:sz w:val="20"/>
          <w:szCs w:val="20"/>
        </w:rPr>
        <w:t>Supreme Cou</w:t>
      </w:r>
      <w:r>
        <w:rPr>
          <w:rFonts w:ascii="Georgia" w:hAnsi="Georgia" w:cs="Georgia"/>
          <w:color w:val="000000"/>
          <w:sz w:val="20"/>
          <w:szCs w:val="20"/>
        </w:rPr>
        <w:t>rt of the United States.</w:t>
      </w:r>
    </w:p>
    <w:p w14:paraId="4468D366" w14:textId="77777777" w:rsidR="00000000" w:rsidRDefault="00896AE4">
      <w:pPr>
        <w:widowControl w:val="0"/>
        <w:autoSpaceDE w:val="0"/>
        <w:autoSpaceDN w:val="0"/>
        <w:adjustRightInd w:val="0"/>
        <w:spacing w:before="200" w:after="0" w:line="240" w:lineRule="auto"/>
        <w:ind w:left="100" w:right="100"/>
        <w:jc w:val="center"/>
        <w:rPr>
          <w:rFonts w:ascii="Georgia" w:hAnsi="Georgia" w:cs="Georgia"/>
          <w:color w:val="252525"/>
          <w:sz w:val="20"/>
          <w:szCs w:val="20"/>
        </w:rPr>
      </w:pPr>
      <w:r>
        <w:rPr>
          <w:rFonts w:ascii="Georgia" w:hAnsi="Georgia" w:cs="Georgia"/>
          <w:b/>
          <w:bCs/>
          <w:color w:val="252525"/>
          <w:sz w:val="20"/>
          <w:szCs w:val="20"/>
          <w:shd w:val="clear" w:color="auto" w:fill="FFFF66"/>
        </w:rPr>
        <w:t>CHAMPLIN</w:t>
      </w:r>
      <w:r>
        <w:rPr>
          <w:rFonts w:ascii="Georgia" w:hAnsi="Georgia" w:cs="Georgia"/>
          <w:color w:val="252525"/>
          <w:sz w:val="20"/>
          <w:szCs w:val="20"/>
        </w:rPr>
        <w:t xml:space="preserve"> </w:t>
      </w:r>
      <w:r>
        <w:rPr>
          <w:rFonts w:ascii="Georgia" w:hAnsi="Georgia" w:cs="Georgia"/>
          <w:b/>
          <w:bCs/>
          <w:color w:val="252525"/>
          <w:sz w:val="20"/>
          <w:szCs w:val="20"/>
          <w:shd w:val="clear" w:color="auto" w:fill="FFFF66"/>
        </w:rPr>
        <w:t>REFINING</w:t>
      </w:r>
      <w:r>
        <w:rPr>
          <w:rFonts w:ascii="Georgia" w:hAnsi="Georgia" w:cs="Georgia"/>
          <w:color w:val="252525"/>
          <w:sz w:val="20"/>
          <w:szCs w:val="20"/>
        </w:rPr>
        <w:t xml:space="preserve"> CO.</w:t>
      </w:r>
    </w:p>
    <w:p w14:paraId="0482D104" w14:textId="77777777" w:rsidR="00000000" w:rsidRDefault="00896AE4">
      <w:pPr>
        <w:widowControl w:val="0"/>
        <w:autoSpaceDE w:val="0"/>
        <w:autoSpaceDN w:val="0"/>
        <w:adjustRightInd w:val="0"/>
        <w:spacing w:after="0" w:line="240" w:lineRule="auto"/>
        <w:ind w:left="100" w:right="100"/>
        <w:jc w:val="center"/>
        <w:rPr>
          <w:rFonts w:ascii="Georgia" w:hAnsi="Georgia" w:cs="Georgia"/>
          <w:color w:val="252525"/>
          <w:sz w:val="20"/>
          <w:szCs w:val="20"/>
        </w:rPr>
      </w:pPr>
      <w:r>
        <w:rPr>
          <w:rFonts w:ascii="Georgia" w:hAnsi="Georgia" w:cs="Georgia"/>
          <w:color w:val="252525"/>
          <w:sz w:val="20"/>
          <w:szCs w:val="20"/>
        </w:rPr>
        <w:t>v.</w:t>
      </w:r>
    </w:p>
    <w:p w14:paraId="29993B94" w14:textId="77777777" w:rsidR="00000000" w:rsidRDefault="00896AE4">
      <w:pPr>
        <w:widowControl w:val="0"/>
        <w:autoSpaceDE w:val="0"/>
        <w:autoSpaceDN w:val="0"/>
        <w:adjustRightInd w:val="0"/>
        <w:spacing w:after="0" w:line="240" w:lineRule="auto"/>
        <w:ind w:left="100" w:right="100"/>
        <w:jc w:val="center"/>
        <w:rPr>
          <w:rFonts w:ascii="Georgia" w:hAnsi="Georgia" w:cs="Georgia"/>
          <w:color w:val="252525"/>
          <w:sz w:val="20"/>
          <w:szCs w:val="20"/>
        </w:rPr>
      </w:pPr>
      <w:r>
        <w:rPr>
          <w:rFonts w:ascii="Georgia" w:hAnsi="Georgia" w:cs="Georgia"/>
          <w:color w:val="252525"/>
          <w:sz w:val="20"/>
          <w:szCs w:val="20"/>
        </w:rPr>
        <w:t>CORPORATION COMMISSION OF STATE OF OKLAHOMA et al (two cases).</w:t>
      </w:r>
    </w:p>
    <w:p w14:paraId="768F6E49" w14:textId="77777777" w:rsidR="00000000" w:rsidRDefault="00896AE4">
      <w:pPr>
        <w:widowControl w:val="0"/>
        <w:autoSpaceDE w:val="0"/>
        <w:autoSpaceDN w:val="0"/>
        <w:adjustRightInd w:val="0"/>
        <w:spacing w:after="0" w:line="240" w:lineRule="auto"/>
        <w:ind w:left="100" w:right="100"/>
        <w:jc w:val="center"/>
        <w:rPr>
          <w:rFonts w:ascii="Georgia" w:hAnsi="Georgia" w:cs="Georgia"/>
          <w:color w:val="252525"/>
          <w:sz w:val="20"/>
          <w:szCs w:val="20"/>
        </w:rPr>
      </w:pPr>
      <w:r>
        <w:rPr>
          <w:rFonts w:ascii="Georgia" w:hAnsi="Georgia" w:cs="Georgia"/>
          <w:color w:val="252525"/>
          <w:sz w:val="20"/>
          <w:szCs w:val="20"/>
        </w:rPr>
        <w:t>CORPORATION COMMISSION OF STATE OF OKLAHOMA et al.</w:t>
      </w:r>
    </w:p>
    <w:p w14:paraId="7786D855" w14:textId="77777777" w:rsidR="00000000" w:rsidRDefault="00896AE4">
      <w:pPr>
        <w:widowControl w:val="0"/>
        <w:autoSpaceDE w:val="0"/>
        <w:autoSpaceDN w:val="0"/>
        <w:adjustRightInd w:val="0"/>
        <w:spacing w:after="0" w:line="240" w:lineRule="auto"/>
        <w:ind w:left="100" w:right="100"/>
        <w:jc w:val="center"/>
        <w:rPr>
          <w:rFonts w:ascii="Georgia" w:hAnsi="Georgia" w:cs="Georgia"/>
          <w:color w:val="252525"/>
          <w:sz w:val="20"/>
          <w:szCs w:val="20"/>
        </w:rPr>
      </w:pPr>
      <w:r>
        <w:rPr>
          <w:rFonts w:ascii="Georgia" w:hAnsi="Georgia" w:cs="Georgia"/>
          <w:color w:val="252525"/>
          <w:sz w:val="20"/>
          <w:szCs w:val="20"/>
        </w:rPr>
        <w:t>v.</w:t>
      </w:r>
    </w:p>
    <w:p w14:paraId="0B2631CA" w14:textId="77777777" w:rsidR="00000000" w:rsidRDefault="00896AE4">
      <w:pPr>
        <w:widowControl w:val="0"/>
        <w:autoSpaceDE w:val="0"/>
        <w:autoSpaceDN w:val="0"/>
        <w:adjustRightInd w:val="0"/>
        <w:spacing w:after="200" w:line="240" w:lineRule="auto"/>
        <w:ind w:left="100" w:right="100"/>
        <w:jc w:val="center"/>
        <w:rPr>
          <w:rFonts w:ascii="Georgia" w:hAnsi="Georgia" w:cs="Georgia"/>
          <w:color w:val="252525"/>
          <w:sz w:val="20"/>
          <w:szCs w:val="20"/>
        </w:rPr>
      </w:pPr>
      <w:r>
        <w:rPr>
          <w:rFonts w:ascii="Georgia" w:hAnsi="Georgia" w:cs="Georgia"/>
          <w:b/>
          <w:bCs/>
          <w:color w:val="252525"/>
          <w:sz w:val="20"/>
          <w:szCs w:val="20"/>
          <w:shd w:val="clear" w:color="auto" w:fill="FFFF66"/>
        </w:rPr>
        <w:t>CHAMPLIN</w:t>
      </w:r>
      <w:r>
        <w:rPr>
          <w:rFonts w:ascii="Georgia" w:hAnsi="Georgia" w:cs="Georgia"/>
          <w:color w:val="252525"/>
          <w:sz w:val="20"/>
          <w:szCs w:val="20"/>
        </w:rPr>
        <w:t xml:space="preserve"> </w:t>
      </w:r>
      <w:r>
        <w:rPr>
          <w:rFonts w:ascii="Georgia" w:hAnsi="Georgia" w:cs="Georgia"/>
          <w:b/>
          <w:bCs/>
          <w:color w:val="252525"/>
          <w:sz w:val="20"/>
          <w:szCs w:val="20"/>
          <w:shd w:val="clear" w:color="auto" w:fill="FFFF66"/>
        </w:rPr>
        <w:t>REFINING</w:t>
      </w:r>
      <w:r>
        <w:rPr>
          <w:rFonts w:ascii="Georgia" w:hAnsi="Georgia" w:cs="Georgia"/>
          <w:color w:val="252525"/>
          <w:sz w:val="20"/>
          <w:szCs w:val="20"/>
        </w:rPr>
        <w:t xml:space="preserve"> CO.</w:t>
      </w:r>
    </w:p>
    <w:p w14:paraId="5350BE11" w14:textId="77777777" w:rsidR="00000000" w:rsidRDefault="00896AE4">
      <w:pPr>
        <w:widowControl w:val="0"/>
        <w:autoSpaceDE w:val="0"/>
        <w:autoSpaceDN w:val="0"/>
        <w:adjustRightInd w:val="0"/>
        <w:spacing w:after="0" w:line="240" w:lineRule="auto"/>
        <w:ind w:left="200"/>
        <w:jc w:val="center"/>
        <w:rPr>
          <w:rFonts w:ascii="Georgia" w:hAnsi="Georgia" w:cs="Georgia"/>
          <w:color w:val="000000"/>
          <w:sz w:val="20"/>
          <w:szCs w:val="20"/>
        </w:rPr>
      </w:pPr>
      <w:r>
        <w:rPr>
          <w:rFonts w:ascii="Georgia" w:hAnsi="Georgia" w:cs="Georgia"/>
          <w:color w:val="000000"/>
          <w:sz w:val="20"/>
          <w:szCs w:val="20"/>
        </w:rPr>
        <w:t>Nos. 122, 485, 486.</w:t>
      </w:r>
    </w:p>
    <w:p w14:paraId="5B98680B" w14:textId="77777777" w:rsidR="00000000" w:rsidRDefault="00896AE4">
      <w:pPr>
        <w:widowControl w:val="0"/>
        <w:autoSpaceDE w:val="0"/>
        <w:autoSpaceDN w:val="0"/>
        <w:adjustRightInd w:val="0"/>
        <w:spacing w:after="0" w:line="240" w:lineRule="auto"/>
        <w:ind w:left="200"/>
        <w:jc w:val="center"/>
        <w:rPr>
          <w:rFonts w:ascii="Georgia" w:hAnsi="Georgia" w:cs="Georgia"/>
          <w:color w:val="000000"/>
          <w:sz w:val="20"/>
          <w:szCs w:val="20"/>
        </w:rPr>
      </w:pPr>
      <w:r>
        <w:rPr>
          <w:rFonts w:ascii="Georgia" w:hAnsi="Georgia" w:cs="Georgia"/>
          <w:color w:val="000000"/>
          <w:sz w:val="20"/>
          <w:szCs w:val="20"/>
        </w:rPr>
        <w:t>|</w:t>
      </w:r>
    </w:p>
    <w:p w14:paraId="00DC4DFC" w14:textId="77777777" w:rsidR="00000000" w:rsidRDefault="00896AE4">
      <w:pPr>
        <w:widowControl w:val="0"/>
        <w:autoSpaceDE w:val="0"/>
        <w:autoSpaceDN w:val="0"/>
        <w:adjustRightInd w:val="0"/>
        <w:spacing w:after="0" w:line="240" w:lineRule="auto"/>
        <w:ind w:left="200"/>
        <w:jc w:val="center"/>
        <w:rPr>
          <w:rFonts w:ascii="Georgia" w:hAnsi="Georgia" w:cs="Georgia"/>
          <w:color w:val="000000"/>
          <w:sz w:val="20"/>
          <w:szCs w:val="20"/>
        </w:rPr>
      </w:pPr>
      <w:r>
        <w:rPr>
          <w:rFonts w:ascii="Georgia" w:hAnsi="Georgia" w:cs="Georgia"/>
          <w:color w:val="000000"/>
          <w:sz w:val="20"/>
          <w:szCs w:val="20"/>
        </w:rPr>
        <w:t>Argued March 23, 1932.</w:t>
      </w:r>
    </w:p>
    <w:p w14:paraId="1EA863D0" w14:textId="77777777" w:rsidR="00000000" w:rsidRDefault="00896AE4">
      <w:pPr>
        <w:widowControl w:val="0"/>
        <w:autoSpaceDE w:val="0"/>
        <w:autoSpaceDN w:val="0"/>
        <w:adjustRightInd w:val="0"/>
        <w:spacing w:after="0" w:line="240" w:lineRule="auto"/>
        <w:ind w:left="200"/>
        <w:jc w:val="center"/>
        <w:rPr>
          <w:rFonts w:ascii="Georgia" w:hAnsi="Georgia" w:cs="Georgia"/>
          <w:color w:val="000000"/>
          <w:sz w:val="20"/>
          <w:szCs w:val="20"/>
        </w:rPr>
      </w:pPr>
      <w:r>
        <w:rPr>
          <w:rFonts w:ascii="Georgia" w:hAnsi="Georgia" w:cs="Georgia"/>
          <w:color w:val="000000"/>
          <w:sz w:val="20"/>
          <w:szCs w:val="20"/>
        </w:rPr>
        <w:t>|</w:t>
      </w:r>
    </w:p>
    <w:p w14:paraId="3D09DCEF" w14:textId="77777777" w:rsidR="00000000" w:rsidRDefault="00896AE4">
      <w:pPr>
        <w:widowControl w:val="0"/>
        <w:autoSpaceDE w:val="0"/>
        <w:autoSpaceDN w:val="0"/>
        <w:adjustRightInd w:val="0"/>
        <w:spacing w:after="200" w:line="240" w:lineRule="auto"/>
        <w:ind w:left="200"/>
        <w:jc w:val="center"/>
        <w:rPr>
          <w:rFonts w:ascii="Georgia" w:hAnsi="Georgia" w:cs="Georgia"/>
          <w:color w:val="000000"/>
          <w:sz w:val="20"/>
          <w:szCs w:val="20"/>
        </w:rPr>
      </w:pPr>
      <w:r>
        <w:rPr>
          <w:rFonts w:ascii="Georgia" w:hAnsi="Georgia" w:cs="Georgia"/>
          <w:color w:val="000000"/>
          <w:sz w:val="20"/>
          <w:szCs w:val="20"/>
        </w:rPr>
        <w:t>Decided May 16, 1932.</w:t>
      </w:r>
    </w:p>
    <w:p w14:paraId="3E6D8EE9" w14:textId="77777777" w:rsidR="00000000" w:rsidRDefault="00896AE4">
      <w:pPr>
        <w:widowControl w:val="0"/>
        <w:autoSpaceDE w:val="0"/>
        <w:autoSpaceDN w:val="0"/>
        <w:adjustRightInd w:val="0"/>
        <w:spacing w:before="400" w:after="0" w:line="240" w:lineRule="auto"/>
        <w:jc w:val="both"/>
        <w:rPr>
          <w:rFonts w:ascii="Times New Roman" w:hAnsi="Times New Roman"/>
          <w:b/>
          <w:bCs/>
          <w:color w:val="212121"/>
          <w:sz w:val="20"/>
          <w:szCs w:val="20"/>
        </w:rPr>
      </w:pPr>
      <w:bookmarkStart w:id="5" w:name="co_synopsis_1"/>
      <w:bookmarkEnd w:id="5"/>
      <w:r>
        <w:rPr>
          <w:rFonts w:ascii="Times New Roman" w:hAnsi="Times New Roman"/>
          <w:b/>
          <w:bCs/>
          <w:color w:val="212121"/>
          <w:sz w:val="20"/>
          <w:szCs w:val="20"/>
        </w:rPr>
        <w:t>Synopsis</w:t>
      </w:r>
    </w:p>
    <w:p w14:paraId="0C1046C8"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r>
        <w:rPr>
          <w:rFonts w:ascii="Times New Roman" w:hAnsi="Times New Roman"/>
          <w:color w:val="000000"/>
          <w:sz w:val="20"/>
          <w:szCs w:val="20"/>
        </w:rPr>
        <w:t>Appeals from the District Court of the United States for the Western District of Oklahoma.</w:t>
      </w:r>
    </w:p>
    <w:p w14:paraId="67781ABB"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r>
        <w:rPr>
          <w:rFonts w:ascii="Times New Roman" w:hAnsi="Times New Roman"/>
          <w:color w:val="000000"/>
          <w:sz w:val="20"/>
          <w:szCs w:val="20"/>
        </w:rPr>
        <w:t> </w:t>
      </w:r>
    </w:p>
    <w:p w14:paraId="05A65AFE"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r>
        <w:rPr>
          <w:rFonts w:ascii="Times New Roman" w:hAnsi="Times New Roman"/>
          <w:color w:val="000000"/>
          <w:sz w:val="20"/>
          <w:szCs w:val="20"/>
        </w:rPr>
        <w:t>Suit by the Champlin Refining Company against the Corporation Commission of the State of Oklahoma and othe</w:t>
      </w:r>
      <w:r>
        <w:rPr>
          <w:rFonts w:ascii="Times New Roman" w:hAnsi="Times New Roman"/>
          <w:color w:val="000000"/>
          <w:sz w:val="20"/>
          <w:szCs w:val="20"/>
        </w:rPr>
        <w:t>rs. Plaintiff’s application for temporary injunction was denied, and final decree was rendered sustaining certain regulatory provisions of act in question, but declaring some of its penal clauses invalid (</w:t>
      </w:r>
      <w:hyperlink r:id="rId11" w:history="1">
        <w:r>
          <w:rPr>
            <w:rFonts w:ascii="Times New Roman" w:hAnsi="Times New Roman"/>
            <w:color w:val="0000FF"/>
            <w:sz w:val="20"/>
            <w:szCs w:val="20"/>
          </w:rPr>
          <w:t>51 F.(2d) 823).</w:t>
        </w:r>
      </w:hyperlink>
      <w:r>
        <w:rPr>
          <w:rFonts w:ascii="Times New Roman" w:hAnsi="Times New Roman"/>
          <w:color w:val="000000"/>
          <w:sz w:val="20"/>
          <w:szCs w:val="20"/>
        </w:rPr>
        <w:t xml:space="preserve"> Plaintiff appeals from the order</w:t>
      </w:r>
      <w:r>
        <w:rPr>
          <w:rFonts w:ascii="Times New Roman" w:hAnsi="Times New Roman"/>
          <w:color w:val="000000"/>
          <w:sz w:val="20"/>
          <w:szCs w:val="20"/>
        </w:rPr>
        <w:t xml:space="preserve"> denying a temporary injunction and from part of the decree, and, from that part of the decree unfavorable to it, defendant appeals.</w:t>
      </w:r>
    </w:p>
    <w:p w14:paraId="59FD7AB1"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r>
        <w:rPr>
          <w:rFonts w:ascii="Times New Roman" w:hAnsi="Times New Roman"/>
          <w:color w:val="000000"/>
          <w:sz w:val="20"/>
          <w:szCs w:val="20"/>
        </w:rPr>
        <w:t> </w:t>
      </w:r>
    </w:p>
    <w:p w14:paraId="6C58CFE2"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r>
        <w:rPr>
          <w:rFonts w:ascii="Times New Roman" w:hAnsi="Times New Roman"/>
          <w:color w:val="000000"/>
          <w:sz w:val="20"/>
          <w:szCs w:val="20"/>
        </w:rPr>
        <w:t>Affirmed on plaintiff’s appeal from the judgment, and modified and affirmed on defendant’s appeal, and plaintiff’s appeal</w:t>
      </w:r>
      <w:r>
        <w:rPr>
          <w:rFonts w:ascii="Times New Roman" w:hAnsi="Times New Roman"/>
          <w:color w:val="000000"/>
          <w:sz w:val="20"/>
          <w:szCs w:val="20"/>
        </w:rPr>
        <w:t xml:space="preserve"> from order denying temporary injunction dismissed.</w:t>
      </w:r>
    </w:p>
    <w:p w14:paraId="262C0D69"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r>
        <w:rPr>
          <w:rFonts w:ascii="Times New Roman" w:hAnsi="Times New Roman"/>
          <w:color w:val="000000"/>
          <w:sz w:val="20"/>
          <w:szCs w:val="20"/>
        </w:rPr>
        <w:t> </w:t>
      </w:r>
    </w:p>
    <w:p w14:paraId="030B35D0"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6" w:name="co_headnotes_1"/>
      <w:bookmarkEnd w:id="6"/>
    </w:p>
    <w:p w14:paraId="601C16AC" w14:textId="77777777" w:rsidR="00000000" w:rsidRDefault="00896AE4">
      <w:pPr>
        <w:widowControl w:val="0"/>
        <w:autoSpaceDE w:val="0"/>
        <w:autoSpaceDN w:val="0"/>
        <w:adjustRightInd w:val="0"/>
        <w:spacing w:after="0" w:line="240" w:lineRule="auto"/>
        <w:jc w:val="both"/>
        <w:rPr>
          <w:rFonts w:ascii="Times New Roman" w:hAnsi="Times New Roman"/>
          <w:color w:val="212121"/>
          <w:sz w:val="20"/>
          <w:szCs w:val="20"/>
        </w:rPr>
      </w:pPr>
      <w:bookmarkStart w:id="7" w:name="co_headnoteHeader_1"/>
      <w:bookmarkEnd w:id="7"/>
    </w:p>
    <w:p w14:paraId="309EA179" w14:textId="77777777" w:rsidR="00000000" w:rsidRDefault="00896AE4">
      <w:pPr>
        <w:widowControl w:val="0"/>
        <w:autoSpaceDE w:val="0"/>
        <w:autoSpaceDN w:val="0"/>
        <w:adjustRightInd w:val="0"/>
        <w:spacing w:before="200" w:after="0" w:line="240" w:lineRule="auto"/>
        <w:ind w:left="100" w:right="200"/>
        <w:jc w:val="both"/>
        <w:rPr>
          <w:rFonts w:ascii="Times New Roman" w:hAnsi="Times New Roman"/>
          <w:color w:val="252525"/>
          <w:sz w:val="20"/>
          <w:szCs w:val="20"/>
        </w:rPr>
      </w:pPr>
      <w:r>
        <w:rPr>
          <w:rFonts w:ascii="Times New Roman" w:hAnsi="Times New Roman"/>
          <w:color w:val="252525"/>
          <w:sz w:val="20"/>
          <w:szCs w:val="20"/>
        </w:rPr>
        <w:t>West Headnotes (19)</w:t>
      </w:r>
    </w:p>
    <w:p w14:paraId="50A57965"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8" w:name="co_expandedHeadnotes_1"/>
      <w:bookmarkEnd w:id="8"/>
    </w:p>
    <w:p w14:paraId="772EFABE"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9" w:name="co_anchor_1932122515001_1"/>
      <w:bookmarkEnd w:id="9"/>
    </w:p>
    <w:tbl>
      <w:tblPr>
        <w:tblW w:w="0" w:type="auto"/>
        <w:tblInd w:w="30" w:type="dxa"/>
        <w:tblLayout w:type="fixed"/>
        <w:tblCellMar>
          <w:left w:w="0" w:type="dxa"/>
          <w:right w:w="0" w:type="dxa"/>
        </w:tblCellMar>
        <w:tblLook w:val="0000" w:firstRow="0" w:lastRow="0" w:firstColumn="0" w:lastColumn="0" w:noHBand="0" w:noVBand="0"/>
      </w:tblPr>
      <w:tblGrid>
        <w:gridCol w:w="600"/>
        <w:gridCol w:w="4040"/>
      </w:tblGrid>
      <w:tr w:rsidR="00000000" w:rsidRPr="00896AE4" w14:paraId="2C0FE59B"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bookmarkStart w:id="10" w:name="co_anchor_F11932122515_1"/>
          <w:bookmarkStart w:id="11" w:name="co_anchor_headNote_[1]_1"/>
          <w:bookmarkEnd w:id="10"/>
          <w:bookmarkEnd w:id="11"/>
          <w:p w14:paraId="6056502B"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r w:rsidRPr="00896AE4">
              <w:rPr>
                <w:rFonts w:ascii="Times New Roman" w:hAnsi="Times New Roman"/>
                <w:b/>
                <w:bCs/>
                <w:color w:val="000000"/>
                <w:sz w:val="20"/>
                <w:szCs w:val="20"/>
              </w:rPr>
              <w:fldChar w:fldCharType="begin"/>
            </w:r>
            <w:r w:rsidRPr="00896AE4">
              <w:rPr>
                <w:rFonts w:ascii="Times New Roman" w:hAnsi="Times New Roman"/>
                <w:b/>
                <w:bCs/>
                <w:color w:val="000000"/>
                <w:sz w:val="20"/>
                <w:szCs w:val="20"/>
              </w:rPr>
              <w:instrText xml:space="preserve">HYPERLINK "#co_anchor_B11932122515_1" </w:instrText>
            </w:r>
            <w:r w:rsidR="00C40BA5" w:rsidRPr="00896AE4">
              <w:rPr>
                <w:rFonts w:ascii="Times New Roman" w:hAnsi="Times New Roman"/>
                <w:b/>
                <w:bCs/>
                <w:color w:val="000000"/>
                <w:sz w:val="20"/>
                <w:szCs w:val="20"/>
              </w:rPr>
            </w:r>
            <w:r w:rsidRPr="00896AE4">
              <w:rPr>
                <w:rFonts w:ascii="Times New Roman" w:hAnsi="Times New Roman"/>
                <w:b/>
                <w:bCs/>
                <w:color w:val="000000"/>
                <w:sz w:val="20"/>
                <w:szCs w:val="20"/>
              </w:rPr>
              <w:fldChar w:fldCharType="separate"/>
            </w:r>
            <w:r w:rsidRPr="00896AE4">
              <w:rPr>
                <w:rFonts w:ascii="Times New Roman" w:hAnsi="Times New Roman"/>
                <w:b/>
                <w:bCs/>
                <w:color w:val="0000FF"/>
                <w:sz w:val="20"/>
                <w:szCs w:val="20"/>
              </w:rPr>
              <w:t>[1]</w:t>
            </w:r>
            <w:r w:rsidRPr="00896AE4">
              <w:rPr>
                <w:rFonts w:ascii="Times New Roman" w:hAnsi="Times New Roman"/>
                <w:b/>
                <w:bCs/>
                <w:color w:val="000000"/>
                <w:sz w:val="20"/>
                <w:szCs w:val="20"/>
              </w:rPr>
              <w:fldChar w:fldCharType="end"/>
            </w:r>
          </w:p>
          <w:p w14:paraId="6A4E7948"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p>
        </w:tc>
        <w:tc>
          <w:tcPr>
            <w:tcW w:w="4040" w:type="dxa"/>
            <w:tcBorders>
              <w:top w:val="nil"/>
              <w:left w:val="nil"/>
              <w:bottom w:val="nil"/>
              <w:right w:val="nil"/>
            </w:tcBorders>
            <w:tcMar>
              <w:left w:w="30" w:type="dxa"/>
              <w:right w:w="30" w:type="dxa"/>
            </w:tcMar>
          </w:tcPr>
          <w:p w14:paraId="5F8F9C11"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hyperlink r:id="rId12" w:history="1">
              <w:r w:rsidRPr="00896AE4">
                <w:rPr>
                  <w:rFonts w:ascii="Times New Roman" w:hAnsi="Times New Roman"/>
                  <w:b/>
                  <w:bCs/>
                  <w:color w:val="0000FF"/>
                  <w:sz w:val="20"/>
                  <w:szCs w:val="20"/>
                </w:rPr>
                <w:t>Mines and Minerals</w:t>
              </w:r>
            </w:hyperlink>
            <w:r w:rsidRPr="00896AE4">
              <w:rPr>
                <w:rFonts w:ascii="Times New Roman" w:hAnsi="Times New Roman"/>
                <w:color w:val="000000"/>
                <w:sz w:val="20"/>
                <w:szCs w:val="20"/>
              </w:rPr>
              <w:pict w14:anchorId="01E5D4CD">
                <v:shape id="_x0000_i1028" type="#_x0000_t75" style="width:10.5pt;height:6pt">
                  <v:imagedata r:id="rId13" o:title=""/>
                </v:shape>
              </w:pict>
            </w:r>
            <w:hyperlink r:id="rId14" w:history="1">
              <w:r w:rsidRPr="00896AE4">
                <w:rPr>
                  <w:rFonts w:ascii="Times New Roman" w:hAnsi="Times New Roman"/>
                  <w:color w:val="0000FF"/>
                  <w:sz w:val="20"/>
                  <w:szCs w:val="20"/>
                </w:rPr>
                <w:t>Power to regulate</w:t>
              </w:r>
            </w:hyperlink>
          </w:p>
          <w:p w14:paraId="23631B02"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r>
      <w:tr w:rsidR="00000000" w:rsidRPr="00896AE4" w14:paraId="5CF1342C"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p w14:paraId="78E848E4"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c>
          <w:tcPr>
            <w:tcW w:w="4040" w:type="dxa"/>
            <w:tcBorders>
              <w:top w:val="nil"/>
              <w:left w:val="nil"/>
              <w:bottom w:val="nil"/>
              <w:right w:val="nil"/>
            </w:tcBorders>
            <w:tcMar>
              <w:left w:w="30" w:type="dxa"/>
              <w:right w:w="30" w:type="dxa"/>
            </w:tcMar>
          </w:tcPr>
          <w:p w14:paraId="02414E04" w14:textId="77777777" w:rsidR="00000000" w:rsidRPr="00896AE4" w:rsidRDefault="00896AE4">
            <w:pPr>
              <w:widowControl w:val="0"/>
              <w:autoSpaceDE w:val="0"/>
              <w:autoSpaceDN w:val="0"/>
              <w:adjustRightInd w:val="0"/>
              <w:spacing w:after="20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t>Right</w:t>
            </w:r>
            <w:r w:rsidRPr="00896AE4">
              <w:rPr>
                <w:rFonts w:ascii="Times New Roman" w:hAnsi="Times New Roman"/>
                <w:color w:val="000000"/>
                <w:sz w:val="20"/>
                <w:szCs w:val="20"/>
              </w:rPr>
              <w:t xml:space="preserve"> of landowner to take gas and oil is subject to reasonable exertion of power of state to </w:t>
            </w:r>
            <w:r w:rsidRPr="00896AE4">
              <w:rPr>
                <w:rFonts w:ascii="Times New Roman" w:hAnsi="Times New Roman"/>
                <w:color w:val="000000"/>
                <w:sz w:val="20"/>
                <w:szCs w:val="20"/>
              </w:rPr>
              <w:t>prevent unnecessary loss, destruction, or waste.</w:t>
            </w:r>
          </w:p>
          <w:bookmarkStart w:id="12" w:name="co_headnoteId_19321225150012020011706340"/>
          <w:bookmarkEnd w:id="12"/>
          <w:p w14:paraId="1E5A943F" w14:textId="77777777" w:rsidR="00000000" w:rsidRPr="00896AE4" w:rsidRDefault="00896AE4">
            <w:pPr>
              <w:widowControl w:val="0"/>
              <w:autoSpaceDE w:val="0"/>
              <w:autoSpaceDN w:val="0"/>
              <w:adjustRightInd w:val="0"/>
              <w:spacing w:before="200" w:after="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fldChar w:fldCharType="begin"/>
            </w:r>
            <w:r w:rsidRPr="00896AE4">
              <w:rPr>
                <w:rFonts w:ascii="Times New Roman" w:hAnsi="Times New Roman"/>
                <w:color w:val="000000"/>
                <w:sz w:val="20"/>
                <w:szCs w:val="20"/>
              </w:rPr>
              <w:instrText>HYPERLINK "http://www.westlaw.com/Link</w:instrText>
            </w:r>
            <w:r w:rsidRPr="00896AE4">
              <w:rPr>
                <w:rFonts w:ascii="Times New Roman" w:hAnsi="Times New Roman"/>
                <w:color w:val="000000"/>
                <w:sz w:val="20"/>
                <w:szCs w:val="20"/>
              </w:rPr>
              <w:instrText xml:space="preserve">/RelatedInformation/DocHeadnoteLink?docGuid=I82520ed09cc011d9a707f4371c9c34f0&amp;headnoteId=193212251500120200117063401&amp;originationContext=document&amp;vr=3.0&amp;rs=cblt1.0&amp;transitionType=CitingReferences&amp;contextData=(sc.Search)" </w:instrText>
            </w:r>
            <w:r w:rsidR="00C40BA5" w:rsidRPr="00896AE4">
              <w:rPr>
                <w:rFonts w:ascii="Times New Roman" w:hAnsi="Times New Roman"/>
                <w:color w:val="000000"/>
                <w:sz w:val="20"/>
                <w:szCs w:val="20"/>
              </w:rPr>
            </w:r>
            <w:r w:rsidRPr="00896AE4">
              <w:rPr>
                <w:rFonts w:ascii="Times New Roman" w:hAnsi="Times New Roman"/>
                <w:color w:val="000000"/>
                <w:sz w:val="20"/>
                <w:szCs w:val="20"/>
              </w:rPr>
              <w:fldChar w:fldCharType="separate"/>
            </w:r>
            <w:r w:rsidRPr="00896AE4">
              <w:rPr>
                <w:rFonts w:ascii="Times New Roman" w:hAnsi="Times New Roman"/>
                <w:color w:val="0000FF"/>
                <w:sz w:val="20"/>
                <w:szCs w:val="20"/>
              </w:rPr>
              <w:t>11 Cases that cite this headnote</w:t>
            </w:r>
            <w:r w:rsidRPr="00896AE4">
              <w:rPr>
                <w:rFonts w:ascii="Times New Roman" w:hAnsi="Times New Roman"/>
                <w:color w:val="000000"/>
                <w:sz w:val="20"/>
                <w:szCs w:val="20"/>
              </w:rPr>
              <w:fldChar w:fldCharType="end"/>
            </w:r>
          </w:p>
          <w:p w14:paraId="13F5EF7C" w14:textId="77777777" w:rsidR="00000000" w:rsidRPr="00896AE4" w:rsidRDefault="00896AE4">
            <w:pPr>
              <w:widowControl w:val="0"/>
              <w:autoSpaceDE w:val="0"/>
              <w:autoSpaceDN w:val="0"/>
              <w:adjustRightInd w:val="0"/>
              <w:spacing w:after="200" w:line="240" w:lineRule="auto"/>
              <w:ind w:left="30" w:right="30"/>
              <w:rPr>
                <w:rFonts w:ascii="Times New Roman" w:hAnsi="Times New Roman"/>
                <w:color w:val="000000"/>
                <w:sz w:val="20"/>
                <w:szCs w:val="20"/>
              </w:rPr>
            </w:pPr>
          </w:p>
        </w:tc>
      </w:tr>
    </w:tbl>
    <w:p w14:paraId="2C6B6ACE"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p>
    <w:p w14:paraId="2FED2D1D"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13" w:name="co_anchor_1932122515002_1"/>
      <w:bookmarkEnd w:id="13"/>
    </w:p>
    <w:tbl>
      <w:tblPr>
        <w:tblW w:w="0" w:type="auto"/>
        <w:tblInd w:w="30" w:type="dxa"/>
        <w:tblLayout w:type="fixed"/>
        <w:tblCellMar>
          <w:left w:w="0" w:type="dxa"/>
          <w:right w:w="0" w:type="dxa"/>
        </w:tblCellMar>
        <w:tblLook w:val="0000" w:firstRow="0" w:lastRow="0" w:firstColumn="0" w:lastColumn="0" w:noHBand="0" w:noVBand="0"/>
      </w:tblPr>
      <w:tblGrid>
        <w:gridCol w:w="600"/>
        <w:gridCol w:w="4040"/>
      </w:tblGrid>
      <w:tr w:rsidR="00000000" w:rsidRPr="00896AE4" w14:paraId="115B051A"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bookmarkStart w:id="14" w:name="co_anchor_F21932122515_1"/>
          <w:bookmarkStart w:id="15" w:name="co_anchor_headNote_[2]_1"/>
          <w:bookmarkEnd w:id="14"/>
          <w:bookmarkEnd w:id="15"/>
          <w:p w14:paraId="38E887EE"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r w:rsidRPr="00896AE4">
              <w:rPr>
                <w:rFonts w:ascii="Times New Roman" w:hAnsi="Times New Roman"/>
                <w:b/>
                <w:bCs/>
                <w:color w:val="000000"/>
                <w:sz w:val="20"/>
                <w:szCs w:val="20"/>
              </w:rPr>
              <w:fldChar w:fldCharType="begin"/>
            </w:r>
            <w:r w:rsidRPr="00896AE4">
              <w:rPr>
                <w:rFonts w:ascii="Times New Roman" w:hAnsi="Times New Roman"/>
                <w:b/>
                <w:bCs/>
                <w:color w:val="000000"/>
                <w:sz w:val="20"/>
                <w:szCs w:val="20"/>
              </w:rPr>
              <w:instrText xml:space="preserve">HYPERLINK "#co_anchor_B21932122515_1" </w:instrText>
            </w:r>
            <w:r w:rsidR="00C40BA5" w:rsidRPr="00896AE4">
              <w:rPr>
                <w:rFonts w:ascii="Times New Roman" w:hAnsi="Times New Roman"/>
                <w:b/>
                <w:bCs/>
                <w:color w:val="000000"/>
                <w:sz w:val="20"/>
                <w:szCs w:val="20"/>
              </w:rPr>
            </w:r>
            <w:r w:rsidRPr="00896AE4">
              <w:rPr>
                <w:rFonts w:ascii="Times New Roman" w:hAnsi="Times New Roman"/>
                <w:b/>
                <w:bCs/>
                <w:color w:val="000000"/>
                <w:sz w:val="20"/>
                <w:szCs w:val="20"/>
              </w:rPr>
              <w:fldChar w:fldCharType="separate"/>
            </w:r>
            <w:r w:rsidRPr="00896AE4">
              <w:rPr>
                <w:rFonts w:ascii="Times New Roman" w:hAnsi="Times New Roman"/>
                <w:b/>
                <w:bCs/>
                <w:color w:val="0000FF"/>
                <w:sz w:val="20"/>
                <w:szCs w:val="20"/>
              </w:rPr>
              <w:t>[2]</w:t>
            </w:r>
            <w:r w:rsidRPr="00896AE4">
              <w:rPr>
                <w:rFonts w:ascii="Times New Roman" w:hAnsi="Times New Roman"/>
                <w:b/>
                <w:bCs/>
                <w:color w:val="000000"/>
                <w:sz w:val="20"/>
                <w:szCs w:val="20"/>
              </w:rPr>
              <w:fldChar w:fldCharType="end"/>
            </w:r>
          </w:p>
          <w:p w14:paraId="4BB3797F"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p>
        </w:tc>
        <w:tc>
          <w:tcPr>
            <w:tcW w:w="4040" w:type="dxa"/>
            <w:tcBorders>
              <w:top w:val="nil"/>
              <w:left w:val="nil"/>
              <w:bottom w:val="nil"/>
              <w:right w:val="nil"/>
            </w:tcBorders>
            <w:tcMar>
              <w:left w:w="30" w:type="dxa"/>
              <w:right w:w="30" w:type="dxa"/>
            </w:tcMar>
          </w:tcPr>
          <w:p w14:paraId="3F48D447"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hyperlink r:id="rId15" w:history="1">
              <w:r w:rsidRPr="00896AE4">
                <w:rPr>
                  <w:rFonts w:ascii="Times New Roman" w:hAnsi="Times New Roman"/>
                  <w:b/>
                  <w:bCs/>
                  <w:color w:val="0000FF"/>
                  <w:sz w:val="20"/>
                  <w:szCs w:val="20"/>
                </w:rPr>
                <w:t>Mines and Minerals</w:t>
              </w:r>
            </w:hyperlink>
            <w:r w:rsidRPr="00896AE4">
              <w:rPr>
                <w:rFonts w:ascii="Times New Roman" w:hAnsi="Times New Roman"/>
                <w:color w:val="000000"/>
                <w:sz w:val="20"/>
                <w:szCs w:val="20"/>
              </w:rPr>
              <w:pict w14:anchorId="69217A83">
                <v:shape id="_x0000_i1029" type="#_x0000_t75" style="width:10.5pt;height:6pt">
                  <v:imagedata r:id="rId13" o:title=""/>
                </v:shape>
              </w:pict>
            </w:r>
            <w:hyperlink r:id="rId16" w:history="1">
              <w:r w:rsidRPr="00896AE4">
                <w:rPr>
                  <w:rFonts w:ascii="Times New Roman" w:hAnsi="Times New Roman"/>
                  <w:color w:val="0000FF"/>
                  <w:sz w:val="20"/>
                  <w:szCs w:val="20"/>
                </w:rPr>
                <w:t>Power to regulate</w:t>
              </w:r>
            </w:hyperlink>
          </w:p>
          <w:p w14:paraId="68048B25"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r>
      <w:tr w:rsidR="00000000" w:rsidRPr="00896AE4" w14:paraId="6C55EE71"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p w14:paraId="6BDF772E"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c>
          <w:tcPr>
            <w:tcW w:w="4040" w:type="dxa"/>
            <w:tcBorders>
              <w:top w:val="nil"/>
              <w:left w:val="nil"/>
              <w:bottom w:val="nil"/>
              <w:right w:val="nil"/>
            </w:tcBorders>
            <w:tcMar>
              <w:left w:w="30" w:type="dxa"/>
              <w:right w:w="30" w:type="dxa"/>
            </w:tcMar>
          </w:tcPr>
          <w:p w14:paraId="76EC1D83" w14:textId="77777777" w:rsidR="00000000" w:rsidRPr="00896AE4" w:rsidRDefault="00896AE4">
            <w:pPr>
              <w:widowControl w:val="0"/>
              <w:autoSpaceDE w:val="0"/>
              <w:autoSpaceDN w:val="0"/>
              <w:adjustRightInd w:val="0"/>
              <w:spacing w:after="20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t>State</w:t>
            </w:r>
            <w:r w:rsidRPr="00896AE4">
              <w:rPr>
                <w:rFonts w:ascii="Times New Roman" w:hAnsi="Times New Roman"/>
                <w:color w:val="000000"/>
                <w:sz w:val="20"/>
                <w:szCs w:val="20"/>
              </w:rPr>
              <w:t>’s power to prevent unnecessary waste of oil and gas extends to taker’s unreasonable and wasteful use of natural gas pressure and to unreasonable and wasteful depletion of common supply to injury of others.</w:t>
            </w:r>
          </w:p>
          <w:bookmarkStart w:id="16" w:name="co_headnoteId_19321225150022020011706340"/>
          <w:bookmarkEnd w:id="16"/>
          <w:p w14:paraId="5B3529E4" w14:textId="77777777" w:rsidR="00000000" w:rsidRPr="00896AE4" w:rsidRDefault="00896AE4">
            <w:pPr>
              <w:widowControl w:val="0"/>
              <w:autoSpaceDE w:val="0"/>
              <w:autoSpaceDN w:val="0"/>
              <w:adjustRightInd w:val="0"/>
              <w:spacing w:before="200" w:after="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fldChar w:fldCharType="begin"/>
            </w:r>
            <w:r w:rsidRPr="00896AE4">
              <w:rPr>
                <w:rFonts w:ascii="Times New Roman" w:hAnsi="Times New Roman"/>
                <w:color w:val="000000"/>
                <w:sz w:val="20"/>
                <w:szCs w:val="20"/>
              </w:rPr>
              <w:instrText>HYPERLINK "http://www.westlaw.com/Link/RelatedInformation/DocHeadnoteLink?docGuid=I82520ed09cc011d9a707f4371c9c34f0&amp;headnoteId=193212251500220200117063401&amp;originationContext=document&amp;vr=3.0&amp;rs=cblt1.0&amp;transitionType=CitingRef</w:instrText>
            </w:r>
            <w:r w:rsidRPr="00896AE4">
              <w:rPr>
                <w:rFonts w:ascii="Times New Roman" w:hAnsi="Times New Roman"/>
                <w:color w:val="000000"/>
                <w:sz w:val="20"/>
                <w:szCs w:val="20"/>
              </w:rPr>
              <w:instrText xml:space="preserve">erences&amp;contextData=(sc.Search)" </w:instrText>
            </w:r>
            <w:r w:rsidR="00C40BA5" w:rsidRPr="00896AE4">
              <w:rPr>
                <w:rFonts w:ascii="Times New Roman" w:hAnsi="Times New Roman"/>
                <w:color w:val="000000"/>
                <w:sz w:val="20"/>
                <w:szCs w:val="20"/>
              </w:rPr>
            </w:r>
            <w:r w:rsidRPr="00896AE4">
              <w:rPr>
                <w:rFonts w:ascii="Times New Roman" w:hAnsi="Times New Roman"/>
                <w:color w:val="000000"/>
                <w:sz w:val="20"/>
                <w:szCs w:val="20"/>
              </w:rPr>
              <w:fldChar w:fldCharType="separate"/>
            </w:r>
            <w:r w:rsidRPr="00896AE4">
              <w:rPr>
                <w:rFonts w:ascii="Times New Roman" w:hAnsi="Times New Roman"/>
                <w:color w:val="0000FF"/>
                <w:sz w:val="20"/>
                <w:szCs w:val="20"/>
              </w:rPr>
              <w:t>6 Cases that cite this headnote</w:t>
            </w:r>
            <w:r w:rsidRPr="00896AE4">
              <w:rPr>
                <w:rFonts w:ascii="Times New Roman" w:hAnsi="Times New Roman"/>
                <w:color w:val="000000"/>
                <w:sz w:val="20"/>
                <w:szCs w:val="20"/>
              </w:rPr>
              <w:fldChar w:fldCharType="end"/>
            </w:r>
          </w:p>
          <w:p w14:paraId="2195010C" w14:textId="77777777" w:rsidR="00000000" w:rsidRPr="00896AE4" w:rsidRDefault="00896AE4">
            <w:pPr>
              <w:widowControl w:val="0"/>
              <w:autoSpaceDE w:val="0"/>
              <w:autoSpaceDN w:val="0"/>
              <w:adjustRightInd w:val="0"/>
              <w:spacing w:after="200" w:line="240" w:lineRule="auto"/>
              <w:ind w:left="30" w:right="30"/>
              <w:rPr>
                <w:rFonts w:ascii="Times New Roman" w:hAnsi="Times New Roman"/>
                <w:color w:val="000000"/>
                <w:sz w:val="20"/>
                <w:szCs w:val="20"/>
              </w:rPr>
            </w:pPr>
          </w:p>
        </w:tc>
      </w:tr>
    </w:tbl>
    <w:p w14:paraId="37A95106"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p>
    <w:p w14:paraId="75962346"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17" w:name="co_anchor_1932122515003_1"/>
      <w:bookmarkEnd w:id="17"/>
    </w:p>
    <w:tbl>
      <w:tblPr>
        <w:tblW w:w="0" w:type="auto"/>
        <w:tblInd w:w="30" w:type="dxa"/>
        <w:tblLayout w:type="fixed"/>
        <w:tblCellMar>
          <w:left w:w="0" w:type="dxa"/>
          <w:right w:w="0" w:type="dxa"/>
        </w:tblCellMar>
        <w:tblLook w:val="0000" w:firstRow="0" w:lastRow="0" w:firstColumn="0" w:lastColumn="0" w:noHBand="0" w:noVBand="0"/>
      </w:tblPr>
      <w:tblGrid>
        <w:gridCol w:w="600"/>
        <w:gridCol w:w="4040"/>
      </w:tblGrid>
      <w:tr w:rsidR="00000000" w:rsidRPr="00896AE4" w14:paraId="1CEB54CC"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bookmarkStart w:id="18" w:name="co_anchor_F31932122515_1"/>
          <w:bookmarkStart w:id="19" w:name="co_anchor_headNote_[3]_1"/>
          <w:bookmarkEnd w:id="18"/>
          <w:bookmarkEnd w:id="19"/>
          <w:p w14:paraId="1BD43B4E"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r w:rsidRPr="00896AE4">
              <w:rPr>
                <w:rFonts w:ascii="Times New Roman" w:hAnsi="Times New Roman"/>
                <w:b/>
                <w:bCs/>
                <w:color w:val="000000"/>
                <w:sz w:val="20"/>
                <w:szCs w:val="20"/>
              </w:rPr>
              <w:fldChar w:fldCharType="begin"/>
            </w:r>
            <w:r w:rsidRPr="00896AE4">
              <w:rPr>
                <w:rFonts w:ascii="Times New Roman" w:hAnsi="Times New Roman"/>
                <w:b/>
                <w:bCs/>
                <w:color w:val="000000"/>
                <w:sz w:val="20"/>
                <w:szCs w:val="20"/>
              </w:rPr>
              <w:instrText xml:space="preserve">HYPERLINK "#co_anchor_B31932122515_1" </w:instrText>
            </w:r>
            <w:r w:rsidR="00C40BA5" w:rsidRPr="00896AE4">
              <w:rPr>
                <w:rFonts w:ascii="Times New Roman" w:hAnsi="Times New Roman"/>
                <w:b/>
                <w:bCs/>
                <w:color w:val="000000"/>
                <w:sz w:val="20"/>
                <w:szCs w:val="20"/>
              </w:rPr>
            </w:r>
            <w:r w:rsidRPr="00896AE4">
              <w:rPr>
                <w:rFonts w:ascii="Times New Roman" w:hAnsi="Times New Roman"/>
                <w:b/>
                <w:bCs/>
                <w:color w:val="000000"/>
                <w:sz w:val="20"/>
                <w:szCs w:val="20"/>
              </w:rPr>
              <w:fldChar w:fldCharType="separate"/>
            </w:r>
            <w:r w:rsidRPr="00896AE4">
              <w:rPr>
                <w:rFonts w:ascii="Times New Roman" w:hAnsi="Times New Roman"/>
                <w:b/>
                <w:bCs/>
                <w:color w:val="0000FF"/>
                <w:sz w:val="20"/>
                <w:szCs w:val="20"/>
              </w:rPr>
              <w:t>[3]</w:t>
            </w:r>
            <w:r w:rsidRPr="00896AE4">
              <w:rPr>
                <w:rFonts w:ascii="Times New Roman" w:hAnsi="Times New Roman"/>
                <w:b/>
                <w:bCs/>
                <w:color w:val="000000"/>
                <w:sz w:val="20"/>
                <w:szCs w:val="20"/>
              </w:rPr>
              <w:fldChar w:fldCharType="end"/>
            </w:r>
          </w:p>
          <w:p w14:paraId="37F3D104"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p>
        </w:tc>
        <w:tc>
          <w:tcPr>
            <w:tcW w:w="4040" w:type="dxa"/>
            <w:tcBorders>
              <w:top w:val="nil"/>
              <w:left w:val="nil"/>
              <w:bottom w:val="nil"/>
              <w:right w:val="nil"/>
            </w:tcBorders>
            <w:tcMar>
              <w:left w:w="30" w:type="dxa"/>
              <w:right w:w="30" w:type="dxa"/>
            </w:tcMar>
          </w:tcPr>
          <w:p w14:paraId="1FA64A57"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hyperlink r:id="rId17" w:history="1">
              <w:r w:rsidRPr="00896AE4">
                <w:rPr>
                  <w:rFonts w:ascii="Times New Roman" w:hAnsi="Times New Roman"/>
                  <w:b/>
                  <w:bCs/>
                  <w:color w:val="0000FF"/>
                  <w:sz w:val="20"/>
                  <w:szCs w:val="20"/>
                </w:rPr>
                <w:t>Constitutional Law</w:t>
              </w:r>
            </w:hyperlink>
            <w:r w:rsidRPr="00896AE4">
              <w:rPr>
                <w:rFonts w:ascii="Times New Roman" w:hAnsi="Times New Roman"/>
                <w:color w:val="000000"/>
                <w:sz w:val="20"/>
                <w:szCs w:val="20"/>
              </w:rPr>
              <w:pict w14:anchorId="4465DCB7">
                <v:shape id="_x0000_i1030" type="#_x0000_t75" style="width:10.5pt;height:6pt">
                  <v:imagedata r:id="rId13" o:title=""/>
                </v:shape>
              </w:pict>
            </w:r>
            <w:hyperlink r:id="rId18" w:history="1">
              <w:r w:rsidRPr="00896AE4">
                <w:rPr>
                  <w:rFonts w:ascii="Times New Roman" w:hAnsi="Times New Roman"/>
                  <w:color w:val="0000FF"/>
                  <w:sz w:val="20"/>
                  <w:szCs w:val="20"/>
                </w:rPr>
                <w:t>Mining and excavation;  oil and gas</w:t>
              </w:r>
            </w:hyperlink>
          </w:p>
          <w:p w14:paraId="497EB4CF"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r>
      <w:tr w:rsidR="00000000" w:rsidRPr="00896AE4" w14:paraId="09DC4E18"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p w14:paraId="0B20E9A8"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c>
          <w:tcPr>
            <w:tcW w:w="4040" w:type="dxa"/>
            <w:tcBorders>
              <w:top w:val="nil"/>
              <w:left w:val="nil"/>
              <w:bottom w:val="nil"/>
              <w:right w:val="nil"/>
            </w:tcBorders>
            <w:tcMar>
              <w:left w:w="30" w:type="dxa"/>
              <w:right w:w="30" w:type="dxa"/>
            </w:tcMar>
          </w:tcPr>
          <w:p w14:paraId="08B099D1" w14:textId="77777777" w:rsidR="00000000" w:rsidRPr="00896AE4" w:rsidRDefault="00896AE4">
            <w:pPr>
              <w:widowControl w:val="0"/>
              <w:autoSpaceDE w:val="0"/>
              <w:autoSpaceDN w:val="0"/>
              <w:adjustRightInd w:val="0"/>
              <w:spacing w:after="20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t>Statutory provisions authorizing Corporation Commissio</w:t>
            </w:r>
            <w:r w:rsidRPr="00896AE4">
              <w:rPr>
                <w:rFonts w:ascii="Times New Roman" w:hAnsi="Times New Roman"/>
                <w:color w:val="000000"/>
                <w:sz w:val="20"/>
                <w:szCs w:val="20"/>
              </w:rPr>
              <w:t xml:space="preserve">n to make rules for prevention of waste in production of petroleum, and to prorate taking thereof from common sources of supply, held not repugnant to due process clause. Comp.St.Okl.1921, </w:t>
            </w:r>
            <w:r w:rsidRPr="00896AE4">
              <w:rPr>
                <w:rFonts w:ascii="Times New Roman" w:hAnsi="Times New Roman"/>
                <w:color w:val="000000"/>
                <w:sz w:val="20"/>
                <w:szCs w:val="20"/>
              </w:rPr>
              <w:t>§§</w:t>
            </w:r>
            <w:r w:rsidRPr="00896AE4">
              <w:rPr>
                <w:rFonts w:ascii="Times New Roman" w:hAnsi="Times New Roman"/>
                <w:color w:val="000000"/>
                <w:sz w:val="20"/>
                <w:szCs w:val="20"/>
              </w:rPr>
              <w:t xml:space="preserve"> 7954, 7956, 7957, </w:t>
            </w:r>
            <w:hyperlink r:id="rId19" w:history="1">
              <w:r w:rsidRPr="00896AE4">
                <w:rPr>
                  <w:rFonts w:ascii="Times New Roman" w:hAnsi="Times New Roman"/>
                  <w:color w:val="0000FF"/>
                  <w:sz w:val="20"/>
                  <w:szCs w:val="20"/>
                </w:rPr>
                <w:t>52 Okl.St.Ann. §§ 271</w:t>
              </w:r>
            </w:hyperlink>
            <w:r w:rsidRPr="00896AE4">
              <w:rPr>
                <w:rFonts w:ascii="Times New Roman" w:hAnsi="Times New Roman"/>
                <w:color w:val="000000"/>
                <w:sz w:val="20"/>
                <w:szCs w:val="20"/>
              </w:rPr>
              <w:t xml:space="preserve">, </w:t>
            </w:r>
            <w:hyperlink r:id="rId20" w:history="1">
              <w:r w:rsidRPr="00896AE4">
                <w:rPr>
                  <w:rFonts w:ascii="Times New Roman" w:hAnsi="Times New Roman"/>
                  <w:color w:val="0000FF"/>
                  <w:sz w:val="20"/>
                  <w:szCs w:val="20"/>
                </w:rPr>
                <w:t>273</w:t>
              </w:r>
            </w:hyperlink>
            <w:r w:rsidRPr="00896AE4">
              <w:rPr>
                <w:rFonts w:ascii="Times New Roman" w:hAnsi="Times New Roman"/>
                <w:color w:val="000000"/>
                <w:sz w:val="20"/>
                <w:szCs w:val="20"/>
              </w:rPr>
              <w:t xml:space="preserve">, </w:t>
            </w:r>
            <w:hyperlink r:id="rId21" w:history="1">
              <w:r w:rsidRPr="00896AE4">
                <w:rPr>
                  <w:rFonts w:ascii="Times New Roman" w:hAnsi="Times New Roman"/>
                  <w:color w:val="0000FF"/>
                  <w:sz w:val="20"/>
                  <w:szCs w:val="20"/>
                </w:rPr>
                <w:t>274</w:t>
              </w:r>
            </w:hyperlink>
            <w:r w:rsidRPr="00896AE4">
              <w:rPr>
                <w:rFonts w:ascii="Times New Roman" w:hAnsi="Times New Roman"/>
                <w:color w:val="000000"/>
                <w:sz w:val="20"/>
                <w:szCs w:val="20"/>
              </w:rPr>
              <w:t xml:space="preserve">; </w:t>
            </w:r>
            <w:hyperlink r:id="rId22" w:history="1">
              <w:r w:rsidRPr="00896AE4">
                <w:rPr>
                  <w:rFonts w:ascii="Times New Roman" w:hAnsi="Times New Roman"/>
                  <w:color w:val="0000FF"/>
                  <w:sz w:val="20"/>
                  <w:szCs w:val="20"/>
                </w:rPr>
                <w:t>U.S.C.A. Const.Amend. 14</w:t>
              </w:r>
            </w:hyperlink>
            <w:r w:rsidRPr="00896AE4">
              <w:rPr>
                <w:rFonts w:ascii="Times New Roman" w:hAnsi="Times New Roman"/>
                <w:color w:val="000000"/>
                <w:sz w:val="20"/>
                <w:szCs w:val="20"/>
              </w:rPr>
              <w:t>.</w:t>
            </w:r>
          </w:p>
          <w:bookmarkStart w:id="20" w:name="co_headnoteId_19321225150032020011706340"/>
          <w:bookmarkEnd w:id="20"/>
          <w:p w14:paraId="7A099AD9" w14:textId="77777777" w:rsidR="00000000" w:rsidRPr="00896AE4" w:rsidRDefault="00896AE4">
            <w:pPr>
              <w:widowControl w:val="0"/>
              <w:autoSpaceDE w:val="0"/>
              <w:autoSpaceDN w:val="0"/>
              <w:adjustRightInd w:val="0"/>
              <w:spacing w:before="200" w:after="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fldChar w:fldCharType="begin"/>
            </w:r>
            <w:r w:rsidRPr="00896AE4">
              <w:rPr>
                <w:rFonts w:ascii="Times New Roman" w:hAnsi="Times New Roman"/>
                <w:color w:val="000000"/>
                <w:sz w:val="20"/>
                <w:szCs w:val="20"/>
              </w:rPr>
              <w:instrText>HYPERLINK "http://www.westlaw.com/Link/RelatedInformation/DocHeadnoteLink?docGuid=I82520ed09cc011d9a707f4371c9c34f0&amp;headnoteId=19321225150</w:instrText>
            </w:r>
            <w:r w:rsidRPr="00896AE4">
              <w:rPr>
                <w:rFonts w:ascii="Times New Roman" w:hAnsi="Times New Roman"/>
                <w:color w:val="000000"/>
                <w:sz w:val="20"/>
                <w:szCs w:val="20"/>
              </w:rPr>
              <w:instrText xml:space="preserve">0320200117063401&amp;originationContext=document&amp;vr=3.0&amp;rs=cblt1.0&amp;transitionType=CitingReferences&amp;contextData=(sc.Search)" </w:instrText>
            </w:r>
            <w:r w:rsidR="00C40BA5" w:rsidRPr="00896AE4">
              <w:rPr>
                <w:rFonts w:ascii="Times New Roman" w:hAnsi="Times New Roman"/>
                <w:color w:val="000000"/>
                <w:sz w:val="20"/>
                <w:szCs w:val="20"/>
              </w:rPr>
            </w:r>
            <w:r w:rsidRPr="00896AE4">
              <w:rPr>
                <w:rFonts w:ascii="Times New Roman" w:hAnsi="Times New Roman"/>
                <w:color w:val="000000"/>
                <w:sz w:val="20"/>
                <w:szCs w:val="20"/>
              </w:rPr>
              <w:fldChar w:fldCharType="separate"/>
            </w:r>
            <w:r w:rsidRPr="00896AE4">
              <w:rPr>
                <w:rFonts w:ascii="Times New Roman" w:hAnsi="Times New Roman"/>
                <w:color w:val="0000FF"/>
                <w:sz w:val="20"/>
                <w:szCs w:val="20"/>
              </w:rPr>
              <w:t>23 Cases that cite this headnote</w:t>
            </w:r>
            <w:r w:rsidRPr="00896AE4">
              <w:rPr>
                <w:rFonts w:ascii="Times New Roman" w:hAnsi="Times New Roman"/>
                <w:color w:val="000000"/>
                <w:sz w:val="20"/>
                <w:szCs w:val="20"/>
              </w:rPr>
              <w:fldChar w:fldCharType="end"/>
            </w:r>
          </w:p>
          <w:p w14:paraId="5D867250" w14:textId="77777777" w:rsidR="00000000" w:rsidRPr="00896AE4" w:rsidRDefault="00896AE4">
            <w:pPr>
              <w:widowControl w:val="0"/>
              <w:autoSpaceDE w:val="0"/>
              <w:autoSpaceDN w:val="0"/>
              <w:adjustRightInd w:val="0"/>
              <w:spacing w:after="200" w:line="240" w:lineRule="auto"/>
              <w:ind w:left="30" w:right="30"/>
              <w:rPr>
                <w:rFonts w:ascii="Times New Roman" w:hAnsi="Times New Roman"/>
                <w:color w:val="000000"/>
                <w:sz w:val="20"/>
                <w:szCs w:val="20"/>
              </w:rPr>
            </w:pPr>
          </w:p>
        </w:tc>
      </w:tr>
    </w:tbl>
    <w:p w14:paraId="63AC98D4"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p>
    <w:p w14:paraId="6F6FDA00"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21" w:name="co_anchor_1932122515004_1"/>
      <w:bookmarkEnd w:id="21"/>
    </w:p>
    <w:tbl>
      <w:tblPr>
        <w:tblW w:w="0" w:type="auto"/>
        <w:tblInd w:w="30" w:type="dxa"/>
        <w:tblLayout w:type="fixed"/>
        <w:tblCellMar>
          <w:left w:w="0" w:type="dxa"/>
          <w:right w:w="0" w:type="dxa"/>
        </w:tblCellMar>
        <w:tblLook w:val="0000" w:firstRow="0" w:lastRow="0" w:firstColumn="0" w:lastColumn="0" w:noHBand="0" w:noVBand="0"/>
      </w:tblPr>
      <w:tblGrid>
        <w:gridCol w:w="600"/>
        <w:gridCol w:w="4040"/>
      </w:tblGrid>
      <w:tr w:rsidR="00000000" w:rsidRPr="00896AE4" w14:paraId="2E4FABD3"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bookmarkStart w:id="22" w:name="co_anchor_F41932122515_1"/>
          <w:bookmarkStart w:id="23" w:name="co_anchor_headNote_[4]_1"/>
          <w:bookmarkEnd w:id="22"/>
          <w:bookmarkEnd w:id="23"/>
          <w:p w14:paraId="310B1BCD"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r w:rsidRPr="00896AE4">
              <w:rPr>
                <w:rFonts w:ascii="Times New Roman" w:hAnsi="Times New Roman"/>
                <w:b/>
                <w:bCs/>
                <w:color w:val="000000"/>
                <w:sz w:val="20"/>
                <w:szCs w:val="20"/>
              </w:rPr>
              <w:fldChar w:fldCharType="begin"/>
            </w:r>
            <w:r w:rsidRPr="00896AE4">
              <w:rPr>
                <w:rFonts w:ascii="Times New Roman" w:hAnsi="Times New Roman"/>
                <w:b/>
                <w:bCs/>
                <w:color w:val="000000"/>
                <w:sz w:val="20"/>
                <w:szCs w:val="20"/>
              </w:rPr>
              <w:instrText xml:space="preserve">HYPERLINK "#co_anchor_B41932122515_1" </w:instrText>
            </w:r>
            <w:r w:rsidR="00C40BA5" w:rsidRPr="00896AE4">
              <w:rPr>
                <w:rFonts w:ascii="Times New Roman" w:hAnsi="Times New Roman"/>
                <w:b/>
                <w:bCs/>
                <w:color w:val="000000"/>
                <w:sz w:val="20"/>
                <w:szCs w:val="20"/>
              </w:rPr>
            </w:r>
            <w:r w:rsidRPr="00896AE4">
              <w:rPr>
                <w:rFonts w:ascii="Times New Roman" w:hAnsi="Times New Roman"/>
                <w:b/>
                <w:bCs/>
                <w:color w:val="000000"/>
                <w:sz w:val="20"/>
                <w:szCs w:val="20"/>
              </w:rPr>
              <w:fldChar w:fldCharType="separate"/>
            </w:r>
            <w:r w:rsidRPr="00896AE4">
              <w:rPr>
                <w:rFonts w:ascii="Times New Roman" w:hAnsi="Times New Roman"/>
                <w:b/>
                <w:bCs/>
                <w:color w:val="0000FF"/>
                <w:sz w:val="20"/>
                <w:szCs w:val="20"/>
              </w:rPr>
              <w:t>[4]</w:t>
            </w:r>
            <w:r w:rsidRPr="00896AE4">
              <w:rPr>
                <w:rFonts w:ascii="Times New Roman" w:hAnsi="Times New Roman"/>
                <w:b/>
                <w:bCs/>
                <w:color w:val="000000"/>
                <w:sz w:val="20"/>
                <w:szCs w:val="20"/>
              </w:rPr>
              <w:fldChar w:fldCharType="end"/>
            </w:r>
          </w:p>
          <w:p w14:paraId="12364D3C"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p>
        </w:tc>
        <w:tc>
          <w:tcPr>
            <w:tcW w:w="4040" w:type="dxa"/>
            <w:tcBorders>
              <w:top w:val="nil"/>
              <w:left w:val="nil"/>
              <w:bottom w:val="nil"/>
              <w:right w:val="nil"/>
            </w:tcBorders>
            <w:tcMar>
              <w:left w:w="30" w:type="dxa"/>
              <w:right w:w="30" w:type="dxa"/>
            </w:tcMar>
          </w:tcPr>
          <w:p w14:paraId="483DAE65"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hyperlink r:id="rId23" w:history="1">
              <w:r w:rsidRPr="00896AE4">
                <w:rPr>
                  <w:rFonts w:ascii="Times New Roman" w:hAnsi="Times New Roman"/>
                  <w:b/>
                  <w:bCs/>
                  <w:color w:val="0000FF"/>
                  <w:sz w:val="20"/>
                  <w:szCs w:val="20"/>
                </w:rPr>
                <w:t>Statutes</w:t>
              </w:r>
            </w:hyperlink>
            <w:r w:rsidRPr="00896AE4">
              <w:rPr>
                <w:rFonts w:ascii="Times New Roman" w:hAnsi="Times New Roman"/>
                <w:color w:val="000000"/>
                <w:sz w:val="20"/>
                <w:szCs w:val="20"/>
              </w:rPr>
              <w:pict w14:anchorId="12D14342">
                <v:shape id="_x0000_i1031" type="#_x0000_t75" style="width:10.5pt;height:6pt">
                  <v:imagedata r:id="rId13" o:title=""/>
                </v:shape>
              </w:pict>
            </w:r>
            <w:hyperlink r:id="rId24" w:history="1">
              <w:r w:rsidRPr="00896AE4">
                <w:rPr>
                  <w:rFonts w:ascii="Times New Roman" w:hAnsi="Times New Roman"/>
                  <w:color w:val="0000FF"/>
                  <w:sz w:val="20"/>
                  <w:szCs w:val="20"/>
                </w:rPr>
                <w:t>Effect of Partial Invalidity;  Severability</w:t>
              </w:r>
            </w:hyperlink>
          </w:p>
          <w:p w14:paraId="015829FE"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r>
      <w:tr w:rsidR="00000000" w:rsidRPr="00896AE4" w14:paraId="4B07C819"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p w14:paraId="417F7A1F"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c>
          <w:tcPr>
            <w:tcW w:w="4040" w:type="dxa"/>
            <w:tcBorders>
              <w:top w:val="nil"/>
              <w:left w:val="nil"/>
              <w:bottom w:val="nil"/>
              <w:right w:val="nil"/>
            </w:tcBorders>
            <w:tcMar>
              <w:left w:w="30" w:type="dxa"/>
              <w:right w:w="30" w:type="dxa"/>
            </w:tcMar>
          </w:tcPr>
          <w:p w14:paraId="527CCCA4" w14:textId="77777777" w:rsidR="00000000" w:rsidRPr="00896AE4" w:rsidRDefault="00896AE4">
            <w:pPr>
              <w:widowControl w:val="0"/>
              <w:autoSpaceDE w:val="0"/>
              <w:autoSpaceDN w:val="0"/>
              <w:adjustRightInd w:val="0"/>
              <w:spacing w:after="20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t>Invalid part of statute may be dropped without affecting remainder thereof if valid part is fully opera</w:t>
            </w:r>
            <w:r w:rsidRPr="00896AE4">
              <w:rPr>
                <w:rFonts w:ascii="Times New Roman" w:hAnsi="Times New Roman"/>
                <w:color w:val="000000"/>
                <w:sz w:val="20"/>
                <w:szCs w:val="20"/>
              </w:rPr>
              <w:t>tive, and there is no showing that Legislature would not have enacted valid provisions independently.</w:t>
            </w:r>
          </w:p>
          <w:bookmarkStart w:id="24" w:name="co_headnoteId_19321225150042020011706340"/>
          <w:bookmarkEnd w:id="24"/>
          <w:p w14:paraId="18C39BC7" w14:textId="77777777" w:rsidR="00000000" w:rsidRPr="00896AE4" w:rsidRDefault="00896AE4">
            <w:pPr>
              <w:widowControl w:val="0"/>
              <w:autoSpaceDE w:val="0"/>
              <w:autoSpaceDN w:val="0"/>
              <w:adjustRightInd w:val="0"/>
              <w:spacing w:before="200" w:after="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fldChar w:fldCharType="begin"/>
            </w:r>
            <w:r w:rsidRPr="00896AE4">
              <w:rPr>
                <w:rFonts w:ascii="Times New Roman" w:hAnsi="Times New Roman"/>
                <w:color w:val="000000"/>
                <w:sz w:val="20"/>
                <w:szCs w:val="20"/>
              </w:rPr>
              <w:instrText>HYPERLINK "http://www.westlaw.com/Li</w:instrText>
            </w:r>
            <w:r w:rsidRPr="00896AE4">
              <w:rPr>
                <w:rFonts w:ascii="Times New Roman" w:hAnsi="Times New Roman"/>
                <w:color w:val="000000"/>
                <w:sz w:val="20"/>
                <w:szCs w:val="20"/>
              </w:rPr>
              <w:instrText xml:space="preserve">nk/RelatedInformation/DocHeadnoteLink?docGuid=I82520ed09cc011d9a707f4371c9c34f0&amp;headnoteId=193212251500420200117063401&amp;originationContext=document&amp;vr=3.0&amp;rs=cblt1.0&amp;transitionType=CitingReferences&amp;contextData=(sc.Search)" </w:instrText>
            </w:r>
            <w:r w:rsidR="00C40BA5" w:rsidRPr="00896AE4">
              <w:rPr>
                <w:rFonts w:ascii="Times New Roman" w:hAnsi="Times New Roman"/>
                <w:color w:val="000000"/>
                <w:sz w:val="20"/>
                <w:szCs w:val="20"/>
              </w:rPr>
            </w:r>
            <w:r w:rsidRPr="00896AE4">
              <w:rPr>
                <w:rFonts w:ascii="Times New Roman" w:hAnsi="Times New Roman"/>
                <w:color w:val="000000"/>
                <w:sz w:val="20"/>
                <w:szCs w:val="20"/>
              </w:rPr>
              <w:fldChar w:fldCharType="separate"/>
            </w:r>
            <w:r w:rsidRPr="00896AE4">
              <w:rPr>
                <w:rFonts w:ascii="Times New Roman" w:hAnsi="Times New Roman"/>
                <w:color w:val="0000FF"/>
                <w:sz w:val="20"/>
                <w:szCs w:val="20"/>
              </w:rPr>
              <w:t>151 Cases that cite this headnote</w:t>
            </w:r>
            <w:r w:rsidRPr="00896AE4">
              <w:rPr>
                <w:rFonts w:ascii="Times New Roman" w:hAnsi="Times New Roman"/>
                <w:color w:val="000000"/>
                <w:sz w:val="20"/>
                <w:szCs w:val="20"/>
              </w:rPr>
              <w:fldChar w:fldCharType="end"/>
            </w:r>
          </w:p>
          <w:p w14:paraId="233BDFDC" w14:textId="77777777" w:rsidR="00000000" w:rsidRPr="00896AE4" w:rsidRDefault="00896AE4">
            <w:pPr>
              <w:widowControl w:val="0"/>
              <w:autoSpaceDE w:val="0"/>
              <w:autoSpaceDN w:val="0"/>
              <w:adjustRightInd w:val="0"/>
              <w:spacing w:after="200" w:line="240" w:lineRule="auto"/>
              <w:ind w:left="30" w:right="30"/>
              <w:rPr>
                <w:rFonts w:ascii="Times New Roman" w:hAnsi="Times New Roman"/>
                <w:color w:val="000000"/>
                <w:sz w:val="20"/>
                <w:szCs w:val="20"/>
              </w:rPr>
            </w:pPr>
          </w:p>
        </w:tc>
      </w:tr>
    </w:tbl>
    <w:p w14:paraId="0494445F"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p>
    <w:p w14:paraId="470FA975"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25" w:name="co_anchor_1932122515005_1"/>
      <w:bookmarkEnd w:id="25"/>
    </w:p>
    <w:tbl>
      <w:tblPr>
        <w:tblW w:w="0" w:type="auto"/>
        <w:tblInd w:w="30" w:type="dxa"/>
        <w:tblLayout w:type="fixed"/>
        <w:tblCellMar>
          <w:left w:w="0" w:type="dxa"/>
          <w:right w:w="0" w:type="dxa"/>
        </w:tblCellMar>
        <w:tblLook w:val="0000" w:firstRow="0" w:lastRow="0" w:firstColumn="0" w:lastColumn="0" w:noHBand="0" w:noVBand="0"/>
      </w:tblPr>
      <w:tblGrid>
        <w:gridCol w:w="600"/>
        <w:gridCol w:w="4040"/>
      </w:tblGrid>
      <w:tr w:rsidR="00000000" w:rsidRPr="00896AE4" w14:paraId="7B63A665"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bookmarkStart w:id="26" w:name="co_anchor_F51932122515_1"/>
          <w:bookmarkStart w:id="27" w:name="co_anchor_headNote_[5]_1"/>
          <w:bookmarkEnd w:id="26"/>
          <w:bookmarkEnd w:id="27"/>
          <w:p w14:paraId="3EE4C924"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r w:rsidRPr="00896AE4">
              <w:rPr>
                <w:rFonts w:ascii="Times New Roman" w:hAnsi="Times New Roman"/>
                <w:b/>
                <w:bCs/>
                <w:color w:val="000000"/>
                <w:sz w:val="20"/>
                <w:szCs w:val="20"/>
              </w:rPr>
              <w:lastRenderedPageBreak/>
              <w:fldChar w:fldCharType="begin"/>
            </w:r>
            <w:r w:rsidRPr="00896AE4">
              <w:rPr>
                <w:rFonts w:ascii="Times New Roman" w:hAnsi="Times New Roman"/>
                <w:b/>
                <w:bCs/>
                <w:color w:val="000000"/>
                <w:sz w:val="20"/>
                <w:szCs w:val="20"/>
              </w:rPr>
              <w:instrText xml:space="preserve">HYPERLINK "#co_anchor_B51932122515_1" </w:instrText>
            </w:r>
            <w:r w:rsidR="00C40BA5" w:rsidRPr="00896AE4">
              <w:rPr>
                <w:rFonts w:ascii="Times New Roman" w:hAnsi="Times New Roman"/>
                <w:b/>
                <w:bCs/>
                <w:color w:val="000000"/>
                <w:sz w:val="20"/>
                <w:szCs w:val="20"/>
              </w:rPr>
            </w:r>
            <w:r w:rsidRPr="00896AE4">
              <w:rPr>
                <w:rFonts w:ascii="Times New Roman" w:hAnsi="Times New Roman"/>
                <w:b/>
                <w:bCs/>
                <w:color w:val="000000"/>
                <w:sz w:val="20"/>
                <w:szCs w:val="20"/>
              </w:rPr>
              <w:fldChar w:fldCharType="separate"/>
            </w:r>
            <w:r w:rsidRPr="00896AE4">
              <w:rPr>
                <w:rFonts w:ascii="Times New Roman" w:hAnsi="Times New Roman"/>
                <w:b/>
                <w:bCs/>
                <w:color w:val="0000FF"/>
                <w:sz w:val="20"/>
                <w:szCs w:val="20"/>
              </w:rPr>
              <w:t>[5]</w:t>
            </w:r>
            <w:r w:rsidRPr="00896AE4">
              <w:rPr>
                <w:rFonts w:ascii="Times New Roman" w:hAnsi="Times New Roman"/>
                <w:b/>
                <w:bCs/>
                <w:color w:val="000000"/>
                <w:sz w:val="20"/>
                <w:szCs w:val="20"/>
              </w:rPr>
              <w:fldChar w:fldCharType="end"/>
            </w:r>
          </w:p>
          <w:p w14:paraId="6A054989"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p>
        </w:tc>
        <w:tc>
          <w:tcPr>
            <w:tcW w:w="4040" w:type="dxa"/>
            <w:tcBorders>
              <w:top w:val="nil"/>
              <w:left w:val="nil"/>
              <w:bottom w:val="nil"/>
              <w:right w:val="nil"/>
            </w:tcBorders>
            <w:tcMar>
              <w:left w:w="30" w:type="dxa"/>
              <w:right w:w="30" w:type="dxa"/>
            </w:tcMar>
          </w:tcPr>
          <w:p w14:paraId="67E2F657"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hyperlink r:id="rId25" w:history="1">
              <w:r w:rsidRPr="00896AE4">
                <w:rPr>
                  <w:rFonts w:ascii="Times New Roman" w:hAnsi="Times New Roman"/>
                  <w:b/>
                  <w:bCs/>
                  <w:color w:val="0000FF"/>
                  <w:sz w:val="20"/>
                  <w:szCs w:val="20"/>
                </w:rPr>
                <w:t>Statutes</w:t>
              </w:r>
            </w:hyperlink>
            <w:r w:rsidRPr="00896AE4">
              <w:rPr>
                <w:rFonts w:ascii="Times New Roman" w:hAnsi="Times New Roman"/>
                <w:color w:val="000000"/>
                <w:sz w:val="20"/>
                <w:szCs w:val="20"/>
              </w:rPr>
              <w:pict w14:anchorId="010DE83D">
                <v:shape id="_x0000_i1032" type="#_x0000_t75" style="width:10.5pt;height:6pt">
                  <v:imagedata r:id="rId13" o:title=""/>
                </v:shape>
              </w:pict>
            </w:r>
            <w:hyperlink r:id="rId26" w:history="1">
              <w:r w:rsidRPr="00896AE4">
                <w:rPr>
                  <w:rFonts w:ascii="Times New Roman" w:hAnsi="Times New Roman"/>
                  <w:color w:val="0000FF"/>
                  <w:sz w:val="20"/>
                  <w:szCs w:val="20"/>
                </w:rPr>
                <w:t>Effect of severability clause</w:t>
              </w:r>
            </w:hyperlink>
          </w:p>
          <w:p w14:paraId="09116530"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r>
      <w:tr w:rsidR="00000000" w:rsidRPr="00896AE4" w14:paraId="48317633"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p w14:paraId="38F3673B"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c>
          <w:tcPr>
            <w:tcW w:w="4040" w:type="dxa"/>
            <w:tcBorders>
              <w:top w:val="nil"/>
              <w:left w:val="nil"/>
              <w:bottom w:val="nil"/>
              <w:right w:val="nil"/>
            </w:tcBorders>
            <w:tcMar>
              <w:left w:w="30" w:type="dxa"/>
              <w:right w:w="30" w:type="dxa"/>
            </w:tcMar>
          </w:tcPr>
          <w:p w14:paraId="6CCC03B2" w14:textId="77777777" w:rsidR="00000000" w:rsidRPr="00896AE4" w:rsidRDefault="00896AE4">
            <w:pPr>
              <w:widowControl w:val="0"/>
              <w:autoSpaceDE w:val="0"/>
              <w:autoSpaceDN w:val="0"/>
              <w:adjustRightInd w:val="0"/>
              <w:spacing w:after="20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t>Statutory provision that invalidity of any part of act shall not affect remaining portions creates presumption that eliminating invalid part. Legislature would have been satisfied with what remained.</w:t>
            </w:r>
          </w:p>
          <w:bookmarkStart w:id="28" w:name="co_headnoteId_19321225150052020011706340"/>
          <w:bookmarkEnd w:id="28"/>
          <w:p w14:paraId="69B6A585" w14:textId="77777777" w:rsidR="00000000" w:rsidRPr="00896AE4" w:rsidRDefault="00896AE4">
            <w:pPr>
              <w:widowControl w:val="0"/>
              <w:autoSpaceDE w:val="0"/>
              <w:autoSpaceDN w:val="0"/>
              <w:adjustRightInd w:val="0"/>
              <w:spacing w:before="200" w:after="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fldChar w:fldCharType="begin"/>
            </w:r>
            <w:r w:rsidRPr="00896AE4">
              <w:rPr>
                <w:rFonts w:ascii="Times New Roman" w:hAnsi="Times New Roman"/>
                <w:color w:val="000000"/>
                <w:sz w:val="20"/>
                <w:szCs w:val="20"/>
              </w:rPr>
              <w:instrText>HYPERLINK "http://www.westlaw.com/Link/RelatedInformation/DocHeadnoteLink?docGuid=I82520ed09cc011d9a707f4371c9c34f0&amp;headnoteId=193212251500520200117063401&amp;originationContext=document&amp;vr=3.0&amp;rs=cblt1.0&amp;transitionType=CitingReferences</w:instrText>
            </w:r>
            <w:r w:rsidRPr="00896AE4">
              <w:rPr>
                <w:rFonts w:ascii="Times New Roman" w:hAnsi="Times New Roman"/>
                <w:color w:val="000000"/>
                <w:sz w:val="20"/>
                <w:szCs w:val="20"/>
              </w:rPr>
              <w:instrText xml:space="preserve">&amp;contextData=(sc.Search)" </w:instrText>
            </w:r>
            <w:r w:rsidR="00C40BA5" w:rsidRPr="00896AE4">
              <w:rPr>
                <w:rFonts w:ascii="Times New Roman" w:hAnsi="Times New Roman"/>
                <w:color w:val="000000"/>
                <w:sz w:val="20"/>
                <w:szCs w:val="20"/>
              </w:rPr>
            </w:r>
            <w:r w:rsidRPr="00896AE4">
              <w:rPr>
                <w:rFonts w:ascii="Times New Roman" w:hAnsi="Times New Roman"/>
                <w:color w:val="000000"/>
                <w:sz w:val="20"/>
                <w:szCs w:val="20"/>
              </w:rPr>
              <w:fldChar w:fldCharType="separate"/>
            </w:r>
            <w:r w:rsidRPr="00896AE4">
              <w:rPr>
                <w:rFonts w:ascii="Times New Roman" w:hAnsi="Times New Roman"/>
                <w:color w:val="0000FF"/>
                <w:sz w:val="20"/>
                <w:szCs w:val="20"/>
              </w:rPr>
              <w:t>105 Cases that cite this headnote</w:t>
            </w:r>
            <w:r w:rsidRPr="00896AE4">
              <w:rPr>
                <w:rFonts w:ascii="Times New Roman" w:hAnsi="Times New Roman"/>
                <w:color w:val="000000"/>
                <w:sz w:val="20"/>
                <w:szCs w:val="20"/>
              </w:rPr>
              <w:fldChar w:fldCharType="end"/>
            </w:r>
          </w:p>
          <w:p w14:paraId="1EF8C1D9" w14:textId="77777777" w:rsidR="00000000" w:rsidRPr="00896AE4" w:rsidRDefault="00896AE4">
            <w:pPr>
              <w:widowControl w:val="0"/>
              <w:autoSpaceDE w:val="0"/>
              <w:autoSpaceDN w:val="0"/>
              <w:adjustRightInd w:val="0"/>
              <w:spacing w:after="200" w:line="240" w:lineRule="auto"/>
              <w:ind w:left="30" w:right="30"/>
              <w:rPr>
                <w:rFonts w:ascii="Times New Roman" w:hAnsi="Times New Roman"/>
                <w:color w:val="000000"/>
                <w:sz w:val="20"/>
                <w:szCs w:val="20"/>
              </w:rPr>
            </w:pPr>
          </w:p>
        </w:tc>
      </w:tr>
    </w:tbl>
    <w:p w14:paraId="2C907099"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p>
    <w:p w14:paraId="3C3C70E7"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29" w:name="co_anchor_1932122515006_1"/>
      <w:bookmarkEnd w:id="29"/>
    </w:p>
    <w:tbl>
      <w:tblPr>
        <w:tblW w:w="0" w:type="auto"/>
        <w:tblInd w:w="30" w:type="dxa"/>
        <w:tblLayout w:type="fixed"/>
        <w:tblCellMar>
          <w:left w:w="0" w:type="dxa"/>
          <w:right w:w="0" w:type="dxa"/>
        </w:tblCellMar>
        <w:tblLook w:val="0000" w:firstRow="0" w:lastRow="0" w:firstColumn="0" w:lastColumn="0" w:noHBand="0" w:noVBand="0"/>
      </w:tblPr>
      <w:tblGrid>
        <w:gridCol w:w="600"/>
        <w:gridCol w:w="4040"/>
      </w:tblGrid>
      <w:tr w:rsidR="00000000" w:rsidRPr="00896AE4" w14:paraId="623DF669"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bookmarkStart w:id="30" w:name="co_anchor_F61932122515_1"/>
          <w:bookmarkStart w:id="31" w:name="co_anchor_headNote_[6]_1"/>
          <w:bookmarkEnd w:id="30"/>
          <w:bookmarkEnd w:id="31"/>
          <w:p w14:paraId="75C42728"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r w:rsidRPr="00896AE4">
              <w:rPr>
                <w:rFonts w:ascii="Times New Roman" w:hAnsi="Times New Roman"/>
                <w:b/>
                <w:bCs/>
                <w:color w:val="000000"/>
                <w:sz w:val="20"/>
                <w:szCs w:val="20"/>
              </w:rPr>
              <w:fldChar w:fldCharType="begin"/>
            </w:r>
            <w:r w:rsidRPr="00896AE4">
              <w:rPr>
                <w:rFonts w:ascii="Times New Roman" w:hAnsi="Times New Roman"/>
                <w:b/>
                <w:bCs/>
                <w:color w:val="000000"/>
                <w:sz w:val="20"/>
                <w:szCs w:val="20"/>
              </w:rPr>
              <w:instrText xml:space="preserve">HYPERLINK "#co_anchor_B61932122515_1" </w:instrText>
            </w:r>
            <w:r w:rsidR="00C40BA5" w:rsidRPr="00896AE4">
              <w:rPr>
                <w:rFonts w:ascii="Times New Roman" w:hAnsi="Times New Roman"/>
                <w:b/>
                <w:bCs/>
                <w:color w:val="000000"/>
                <w:sz w:val="20"/>
                <w:szCs w:val="20"/>
              </w:rPr>
            </w:r>
            <w:r w:rsidRPr="00896AE4">
              <w:rPr>
                <w:rFonts w:ascii="Times New Roman" w:hAnsi="Times New Roman"/>
                <w:b/>
                <w:bCs/>
                <w:color w:val="000000"/>
                <w:sz w:val="20"/>
                <w:szCs w:val="20"/>
              </w:rPr>
              <w:fldChar w:fldCharType="separate"/>
            </w:r>
            <w:r w:rsidRPr="00896AE4">
              <w:rPr>
                <w:rFonts w:ascii="Times New Roman" w:hAnsi="Times New Roman"/>
                <w:b/>
                <w:bCs/>
                <w:color w:val="0000FF"/>
                <w:sz w:val="20"/>
                <w:szCs w:val="20"/>
              </w:rPr>
              <w:t>[6]</w:t>
            </w:r>
            <w:r w:rsidRPr="00896AE4">
              <w:rPr>
                <w:rFonts w:ascii="Times New Roman" w:hAnsi="Times New Roman"/>
                <w:b/>
                <w:bCs/>
                <w:color w:val="000000"/>
                <w:sz w:val="20"/>
                <w:szCs w:val="20"/>
              </w:rPr>
              <w:fldChar w:fldCharType="end"/>
            </w:r>
          </w:p>
          <w:p w14:paraId="011F1030"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p>
        </w:tc>
        <w:tc>
          <w:tcPr>
            <w:tcW w:w="4040" w:type="dxa"/>
            <w:tcBorders>
              <w:top w:val="nil"/>
              <w:left w:val="nil"/>
              <w:bottom w:val="nil"/>
              <w:right w:val="nil"/>
            </w:tcBorders>
            <w:tcMar>
              <w:left w:w="30" w:type="dxa"/>
              <w:right w:w="30" w:type="dxa"/>
            </w:tcMar>
          </w:tcPr>
          <w:p w14:paraId="1FBCAF39"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hyperlink r:id="rId27" w:history="1">
              <w:r w:rsidRPr="00896AE4">
                <w:rPr>
                  <w:rFonts w:ascii="Times New Roman" w:hAnsi="Times New Roman"/>
                  <w:b/>
                  <w:bCs/>
                  <w:color w:val="0000FF"/>
                  <w:sz w:val="20"/>
                  <w:szCs w:val="20"/>
                </w:rPr>
                <w:t>Commerce</w:t>
              </w:r>
            </w:hyperlink>
            <w:r w:rsidRPr="00896AE4">
              <w:rPr>
                <w:rFonts w:ascii="Times New Roman" w:hAnsi="Times New Roman"/>
                <w:color w:val="000000"/>
                <w:sz w:val="20"/>
                <w:szCs w:val="20"/>
              </w:rPr>
              <w:pict w14:anchorId="0D93148D">
                <v:shape id="_x0000_i1033" type="#_x0000_t75" style="width:10.5pt;height:6pt">
                  <v:imagedata r:id="rId13" o:title=""/>
                </v:shape>
              </w:pict>
            </w:r>
            <w:hyperlink r:id="rId28" w:history="1">
              <w:r w:rsidRPr="00896AE4">
                <w:rPr>
                  <w:rFonts w:ascii="Times New Roman" w:hAnsi="Times New Roman"/>
                  <w:color w:val="0000FF"/>
                  <w:sz w:val="20"/>
                  <w:szCs w:val="20"/>
                </w:rPr>
                <w:t>Gas</w:t>
              </w:r>
            </w:hyperlink>
          </w:p>
          <w:p w14:paraId="249AD083"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r>
      <w:tr w:rsidR="00000000" w:rsidRPr="00896AE4" w14:paraId="7E42DAA1"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p w14:paraId="7E2300E8"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c>
          <w:tcPr>
            <w:tcW w:w="4040" w:type="dxa"/>
            <w:tcBorders>
              <w:top w:val="nil"/>
              <w:left w:val="nil"/>
              <w:bottom w:val="nil"/>
              <w:right w:val="nil"/>
            </w:tcBorders>
            <w:tcMar>
              <w:left w:w="30" w:type="dxa"/>
              <w:right w:w="30" w:type="dxa"/>
            </w:tcMar>
          </w:tcPr>
          <w:p w14:paraId="1FE6B5E0" w14:textId="77777777" w:rsidR="00000000" w:rsidRPr="00896AE4" w:rsidRDefault="00896AE4">
            <w:pPr>
              <w:widowControl w:val="0"/>
              <w:autoSpaceDE w:val="0"/>
              <w:autoSpaceDN w:val="0"/>
              <w:adjustRightInd w:val="0"/>
              <w:spacing w:after="20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t>Statutory provisions authorizi</w:t>
            </w:r>
            <w:r w:rsidRPr="00896AE4">
              <w:rPr>
                <w:rFonts w:ascii="Times New Roman" w:hAnsi="Times New Roman"/>
                <w:color w:val="000000"/>
                <w:sz w:val="20"/>
                <w:szCs w:val="20"/>
              </w:rPr>
              <w:t xml:space="preserve">ng regulation orders and proration to prevent waste of oil and gas and unfair taking held not to burden interstate commerce. </w:t>
            </w:r>
            <w:hyperlink r:id="rId29" w:history="1">
              <w:r w:rsidRPr="00896AE4">
                <w:rPr>
                  <w:rFonts w:ascii="Times New Roman" w:hAnsi="Times New Roman"/>
                  <w:color w:val="0000FF"/>
                  <w:sz w:val="20"/>
                  <w:szCs w:val="20"/>
                </w:rPr>
                <w:t>U.S.C.A. Const. art. 1, § 8, cl. 3</w:t>
              </w:r>
            </w:hyperlink>
            <w:r w:rsidRPr="00896AE4">
              <w:rPr>
                <w:rFonts w:ascii="Times New Roman" w:hAnsi="Times New Roman"/>
                <w:color w:val="000000"/>
                <w:sz w:val="20"/>
                <w:szCs w:val="20"/>
              </w:rPr>
              <w:t xml:space="preserve">; </w:t>
            </w:r>
            <w:hyperlink r:id="rId30" w:history="1">
              <w:r w:rsidRPr="00896AE4">
                <w:rPr>
                  <w:rFonts w:ascii="Times New Roman" w:hAnsi="Times New Roman"/>
                  <w:color w:val="0000FF"/>
                  <w:sz w:val="20"/>
                  <w:szCs w:val="20"/>
                </w:rPr>
                <w:t>52 Okl.St.Ann. §§ 271</w:t>
              </w:r>
            </w:hyperlink>
            <w:r w:rsidRPr="00896AE4">
              <w:rPr>
                <w:rFonts w:ascii="Times New Roman" w:hAnsi="Times New Roman"/>
                <w:color w:val="000000"/>
                <w:sz w:val="20"/>
                <w:szCs w:val="20"/>
              </w:rPr>
              <w:t xml:space="preserve">, </w:t>
            </w:r>
            <w:hyperlink r:id="rId31" w:history="1">
              <w:r w:rsidRPr="00896AE4">
                <w:rPr>
                  <w:rFonts w:ascii="Times New Roman" w:hAnsi="Times New Roman"/>
                  <w:color w:val="0000FF"/>
                  <w:sz w:val="20"/>
                  <w:szCs w:val="20"/>
                </w:rPr>
                <w:t>273</w:t>
              </w:r>
            </w:hyperlink>
            <w:r w:rsidRPr="00896AE4">
              <w:rPr>
                <w:rFonts w:ascii="Times New Roman" w:hAnsi="Times New Roman"/>
                <w:color w:val="000000"/>
                <w:sz w:val="20"/>
                <w:szCs w:val="20"/>
              </w:rPr>
              <w:t xml:space="preserve">, </w:t>
            </w:r>
            <w:hyperlink r:id="rId32" w:history="1">
              <w:r w:rsidRPr="00896AE4">
                <w:rPr>
                  <w:rFonts w:ascii="Times New Roman" w:hAnsi="Times New Roman"/>
                  <w:color w:val="0000FF"/>
                  <w:sz w:val="20"/>
                  <w:szCs w:val="20"/>
                </w:rPr>
                <w:t>274</w:t>
              </w:r>
            </w:hyperlink>
            <w:r w:rsidRPr="00896AE4">
              <w:rPr>
                <w:rFonts w:ascii="Times New Roman" w:hAnsi="Times New Roman"/>
                <w:color w:val="000000"/>
                <w:sz w:val="20"/>
                <w:szCs w:val="20"/>
              </w:rPr>
              <w:t>.</w:t>
            </w:r>
          </w:p>
          <w:bookmarkStart w:id="32" w:name="co_headnoteId_19321225150062020011706340"/>
          <w:bookmarkEnd w:id="32"/>
          <w:p w14:paraId="70DC13EF" w14:textId="77777777" w:rsidR="00000000" w:rsidRPr="00896AE4" w:rsidRDefault="00896AE4">
            <w:pPr>
              <w:widowControl w:val="0"/>
              <w:autoSpaceDE w:val="0"/>
              <w:autoSpaceDN w:val="0"/>
              <w:adjustRightInd w:val="0"/>
              <w:spacing w:before="200" w:after="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fldChar w:fldCharType="begin"/>
            </w:r>
            <w:r w:rsidRPr="00896AE4">
              <w:rPr>
                <w:rFonts w:ascii="Times New Roman" w:hAnsi="Times New Roman"/>
                <w:color w:val="000000"/>
                <w:sz w:val="20"/>
                <w:szCs w:val="20"/>
              </w:rPr>
              <w:instrText>HYPERLINK "http://www.westlaw.com/Link/RelatedInformation/DocHeadnoteLink?docGuid=I82520ed09cc011d9a707f4371c9c34f0&amp;headnoteId=193212251500620200117063401&amp;originationContext=document&amp;vr=3.0&amp;rs=cblt1.0&amp;transitionT</w:instrText>
            </w:r>
            <w:r w:rsidRPr="00896AE4">
              <w:rPr>
                <w:rFonts w:ascii="Times New Roman" w:hAnsi="Times New Roman"/>
                <w:color w:val="000000"/>
                <w:sz w:val="20"/>
                <w:szCs w:val="20"/>
              </w:rPr>
              <w:instrText xml:space="preserve">ype=CitingReferences&amp;contextData=(sc.Search)" </w:instrText>
            </w:r>
            <w:r w:rsidR="00C40BA5" w:rsidRPr="00896AE4">
              <w:rPr>
                <w:rFonts w:ascii="Times New Roman" w:hAnsi="Times New Roman"/>
                <w:color w:val="000000"/>
                <w:sz w:val="20"/>
                <w:szCs w:val="20"/>
              </w:rPr>
            </w:r>
            <w:r w:rsidRPr="00896AE4">
              <w:rPr>
                <w:rFonts w:ascii="Times New Roman" w:hAnsi="Times New Roman"/>
                <w:color w:val="000000"/>
                <w:sz w:val="20"/>
                <w:szCs w:val="20"/>
              </w:rPr>
              <w:fldChar w:fldCharType="separate"/>
            </w:r>
            <w:r w:rsidRPr="00896AE4">
              <w:rPr>
                <w:rFonts w:ascii="Times New Roman" w:hAnsi="Times New Roman"/>
                <w:color w:val="0000FF"/>
                <w:sz w:val="20"/>
                <w:szCs w:val="20"/>
              </w:rPr>
              <w:t>7 Cases that cite this headnote</w:t>
            </w:r>
            <w:r w:rsidRPr="00896AE4">
              <w:rPr>
                <w:rFonts w:ascii="Times New Roman" w:hAnsi="Times New Roman"/>
                <w:color w:val="000000"/>
                <w:sz w:val="20"/>
                <w:szCs w:val="20"/>
              </w:rPr>
              <w:fldChar w:fldCharType="end"/>
            </w:r>
          </w:p>
          <w:p w14:paraId="45F5B58E" w14:textId="77777777" w:rsidR="00000000" w:rsidRPr="00896AE4" w:rsidRDefault="00896AE4">
            <w:pPr>
              <w:widowControl w:val="0"/>
              <w:autoSpaceDE w:val="0"/>
              <w:autoSpaceDN w:val="0"/>
              <w:adjustRightInd w:val="0"/>
              <w:spacing w:after="200" w:line="240" w:lineRule="auto"/>
              <w:ind w:left="30" w:right="30"/>
              <w:rPr>
                <w:rFonts w:ascii="Times New Roman" w:hAnsi="Times New Roman"/>
                <w:color w:val="000000"/>
                <w:sz w:val="20"/>
                <w:szCs w:val="20"/>
              </w:rPr>
            </w:pPr>
          </w:p>
        </w:tc>
      </w:tr>
    </w:tbl>
    <w:p w14:paraId="65CA4EB8"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p>
    <w:p w14:paraId="1D3AC8FB"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33" w:name="co_anchor_1932122515007_1"/>
      <w:bookmarkEnd w:id="33"/>
    </w:p>
    <w:tbl>
      <w:tblPr>
        <w:tblW w:w="0" w:type="auto"/>
        <w:tblInd w:w="30" w:type="dxa"/>
        <w:tblLayout w:type="fixed"/>
        <w:tblCellMar>
          <w:left w:w="0" w:type="dxa"/>
          <w:right w:w="0" w:type="dxa"/>
        </w:tblCellMar>
        <w:tblLook w:val="0000" w:firstRow="0" w:lastRow="0" w:firstColumn="0" w:lastColumn="0" w:noHBand="0" w:noVBand="0"/>
      </w:tblPr>
      <w:tblGrid>
        <w:gridCol w:w="600"/>
        <w:gridCol w:w="4040"/>
      </w:tblGrid>
      <w:tr w:rsidR="00000000" w:rsidRPr="00896AE4" w14:paraId="0581130D"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bookmarkStart w:id="34" w:name="co_anchor_F71932122515_1"/>
          <w:bookmarkStart w:id="35" w:name="co_anchor_headNote_[7]_1"/>
          <w:bookmarkEnd w:id="34"/>
          <w:bookmarkEnd w:id="35"/>
          <w:p w14:paraId="733CFA61"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r w:rsidRPr="00896AE4">
              <w:rPr>
                <w:rFonts w:ascii="Times New Roman" w:hAnsi="Times New Roman"/>
                <w:b/>
                <w:bCs/>
                <w:color w:val="000000"/>
                <w:sz w:val="20"/>
                <w:szCs w:val="20"/>
              </w:rPr>
              <w:fldChar w:fldCharType="begin"/>
            </w:r>
            <w:r w:rsidRPr="00896AE4">
              <w:rPr>
                <w:rFonts w:ascii="Times New Roman" w:hAnsi="Times New Roman"/>
                <w:b/>
                <w:bCs/>
                <w:color w:val="000000"/>
                <w:sz w:val="20"/>
                <w:szCs w:val="20"/>
              </w:rPr>
              <w:instrText xml:space="preserve">HYPERLINK "#co_anchor_B71932122515_1" </w:instrText>
            </w:r>
            <w:r w:rsidR="00C40BA5" w:rsidRPr="00896AE4">
              <w:rPr>
                <w:rFonts w:ascii="Times New Roman" w:hAnsi="Times New Roman"/>
                <w:b/>
                <w:bCs/>
                <w:color w:val="000000"/>
                <w:sz w:val="20"/>
                <w:szCs w:val="20"/>
              </w:rPr>
            </w:r>
            <w:r w:rsidRPr="00896AE4">
              <w:rPr>
                <w:rFonts w:ascii="Times New Roman" w:hAnsi="Times New Roman"/>
                <w:b/>
                <w:bCs/>
                <w:color w:val="000000"/>
                <w:sz w:val="20"/>
                <w:szCs w:val="20"/>
              </w:rPr>
              <w:fldChar w:fldCharType="separate"/>
            </w:r>
            <w:r w:rsidRPr="00896AE4">
              <w:rPr>
                <w:rFonts w:ascii="Times New Roman" w:hAnsi="Times New Roman"/>
                <w:b/>
                <w:bCs/>
                <w:color w:val="0000FF"/>
                <w:sz w:val="20"/>
                <w:szCs w:val="20"/>
              </w:rPr>
              <w:t>[7]</w:t>
            </w:r>
            <w:r w:rsidRPr="00896AE4">
              <w:rPr>
                <w:rFonts w:ascii="Times New Roman" w:hAnsi="Times New Roman"/>
                <w:b/>
                <w:bCs/>
                <w:color w:val="000000"/>
                <w:sz w:val="20"/>
                <w:szCs w:val="20"/>
              </w:rPr>
              <w:fldChar w:fldCharType="end"/>
            </w:r>
          </w:p>
          <w:p w14:paraId="055E5A19"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p>
        </w:tc>
        <w:tc>
          <w:tcPr>
            <w:tcW w:w="4040" w:type="dxa"/>
            <w:tcBorders>
              <w:top w:val="nil"/>
              <w:left w:val="nil"/>
              <w:bottom w:val="nil"/>
              <w:right w:val="nil"/>
            </w:tcBorders>
            <w:tcMar>
              <w:left w:w="30" w:type="dxa"/>
              <w:right w:w="30" w:type="dxa"/>
            </w:tcMar>
          </w:tcPr>
          <w:p w14:paraId="0FB31221"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hyperlink r:id="rId33" w:history="1">
              <w:r w:rsidRPr="00896AE4">
                <w:rPr>
                  <w:rFonts w:ascii="Times New Roman" w:hAnsi="Times New Roman"/>
                  <w:b/>
                  <w:bCs/>
                  <w:color w:val="0000FF"/>
                  <w:sz w:val="20"/>
                  <w:szCs w:val="20"/>
                </w:rPr>
                <w:t>Mines and Minerals</w:t>
              </w:r>
            </w:hyperlink>
            <w:r w:rsidRPr="00896AE4">
              <w:rPr>
                <w:rFonts w:ascii="Times New Roman" w:hAnsi="Times New Roman"/>
                <w:color w:val="000000"/>
                <w:sz w:val="20"/>
                <w:szCs w:val="20"/>
              </w:rPr>
              <w:pict w14:anchorId="5E881507">
                <v:shape id="_x0000_i1034" type="#_x0000_t75" style="width:10.5pt;height:6pt">
                  <v:imagedata r:id="rId13" o:title=""/>
                </v:shape>
              </w:pict>
            </w:r>
            <w:hyperlink r:id="rId34" w:history="1">
              <w:r w:rsidRPr="00896AE4">
                <w:rPr>
                  <w:rFonts w:ascii="Times New Roman" w:hAnsi="Times New Roman"/>
                  <w:color w:val="0000FF"/>
                  <w:sz w:val="20"/>
                  <w:szCs w:val="20"/>
                </w:rPr>
                <w:t>In general;  waste</w:t>
              </w:r>
            </w:hyperlink>
          </w:p>
          <w:p w14:paraId="63CB336F"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r>
      <w:tr w:rsidR="00000000" w:rsidRPr="00896AE4" w14:paraId="795A230D"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p w14:paraId="43C49883"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c>
          <w:tcPr>
            <w:tcW w:w="4040" w:type="dxa"/>
            <w:tcBorders>
              <w:top w:val="nil"/>
              <w:left w:val="nil"/>
              <w:bottom w:val="nil"/>
              <w:right w:val="nil"/>
            </w:tcBorders>
            <w:tcMar>
              <w:left w:w="30" w:type="dxa"/>
              <w:right w:w="30" w:type="dxa"/>
            </w:tcMar>
          </w:tcPr>
          <w:p w14:paraId="681BBBAB" w14:textId="77777777" w:rsidR="00000000" w:rsidRPr="00896AE4" w:rsidRDefault="00896AE4">
            <w:pPr>
              <w:widowControl w:val="0"/>
              <w:autoSpaceDE w:val="0"/>
              <w:autoSpaceDN w:val="0"/>
              <w:adjustRightInd w:val="0"/>
              <w:spacing w:after="20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t xml:space="preserve">Proration orders limiting output from oil and gas wells in oil field held not invalid </w:t>
            </w:r>
            <w:r w:rsidRPr="00896AE4">
              <w:rPr>
                <w:rFonts w:ascii="Times New Roman" w:hAnsi="Times New Roman"/>
                <w:color w:val="000000"/>
                <w:sz w:val="20"/>
                <w:szCs w:val="20"/>
              </w:rPr>
              <w:t xml:space="preserve">as unauthorized, lacking basis in fact, or arbitrary. </w:t>
            </w:r>
            <w:hyperlink r:id="rId35" w:history="1">
              <w:r w:rsidRPr="00896AE4">
                <w:rPr>
                  <w:rFonts w:ascii="Times New Roman" w:hAnsi="Times New Roman"/>
                  <w:color w:val="0000FF"/>
                  <w:sz w:val="20"/>
                  <w:szCs w:val="20"/>
                </w:rPr>
                <w:t>52 Okl.St.Ann. §§ 271</w:t>
              </w:r>
            </w:hyperlink>
            <w:r w:rsidRPr="00896AE4">
              <w:rPr>
                <w:rFonts w:ascii="Times New Roman" w:hAnsi="Times New Roman"/>
                <w:color w:val="000000"/>
                <w:sz w:val="20"/>
                <w:szCs w:val="20"/>
              </w:rPr>
              <w:t xml:space="preserve">, </w:t>
            </w:r>
            <w:hyperlink r:id="rId36" w:history="1">
              <w:r w:rsidRPr="00896AE4">
                <w:rPr>
                  <w:rFonts w:ascii="Times New Roman" w:hAnsi="Times New Roman"/>
                  <w:color w:val="0000FF"/>
                  <w:sz w:val="20"/>
                  <w:szCs w:val="20"/>
                </w:rPr>
                <w:t>273</w:t>
              </w:r>
            </w:hyperlink>
            <w:r w:rsidRPr="00896AE4">
              <w:rPr>
                <w:rFonts w:ascii="Times New Roman" w:hAnsi="Times New Roman"/>
                <w:color w:val="000000"/>
                <w:sz w:val="20"/>
                <w:szCs w:val="20"/>
              </w:rPr>
              <w:t xml:space="preserve">, </w:t>
            </w:r>
            <w:hyperlink r:id="rId37" w:history="1">
              <w:r w:rsidRPr="00896AE4">
                <w:rPr>
                  <w:rFonts w:ascii="Times New Roman" w:hAnsi="Times New Roman"/>
                  <w:color w:val="0000FF"/>
                  <w:sz w:val="20"/>
                  <w:szCs w:val="20"/>
                </w:rPr>
                <w:t>274</w:t>
              </w:r>
            </w:hyperlink>
            <w:r w:rsidRPr="00896AE4">
              <w:rPr>
                <w:rFonts w:ascii="Times New Roman" w:hAnsi="Times New Roman"/>
                <w:color w:val="000000"/>
                <w:sz w:val="20"/>
                <w:szCs w:val="20"/>
              </w:rPr>
              <w:t>.</w:t>
            </w:r>
          </w:p>
          <w:bookmarkStart w:id="36" w:name="co_headnoteId_19321225150072020011706340"/>
          <w:bookmarkEnd w:id="36"/>
          <w:p w14:paraId="0AFB8669" w14:textId="77777777" w:rsidR="00000000" w:rsidRPr="00896AE4" w:rsidRDefault="00896AE4">
            <w:pPr>
              <w:widowControl w:val="0"/>
              <w:autoSpaceDE w:val="0"/>
              <w:autoSpaceDN w:val="0"/>
              <w:adjustRightInd w:val="0"/>
              <w:spacing w:before="200" w:after="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fldChar w:fldCharType="begin"/>
            </w:r>
            <w:r w:rsidRPr="00896AE4">
              <w:rPr>
                <w:rFonts w:ascii="Times New Roman" w:hAnsi="Times New Roman"/>
                <w:color w:val="000000"/>
                <w:sz w:val="20"/>
                <w:szCs w:val="20"/>
              </w:rPr>
              <w:instrText>HYPERLINK "http://www.westlaw.com/Link/RelatedInformation/DocHeadnoteLi</w:instrText>
            </w:r>
            <w:r w:rsidRPr="00896AE4">
              <w:rPr>
                <w:rFonts w:ascii="Times New Roman" w:hAnsi="Times New Roman"/>
                <w:color w:val="000000"/>
                <w:sz w:val="20"/>
                <w:szCs w:val="20"/>
              </w:rPr>
              <w:instrText xml:space="preserve">nk?docGuid=I82520ed09cc011d9a707f4371c9c34f0&amp;headnoteId=193212251500720200117063401&amp;originationContext=document&amp;vr=3.0&amp;rs=cblt1.0&amp;transitionType=CitingReferences&amp;contextData=(sc.Search)" </w:instrText>
            </w:r>
            <w:r w:rsidR="00C40BA5" w:rsidRPr="00896AE4">
              <w:rPr>
                <w:rFonts w:ascii="Times New Roman" w:hAnsi="Times New Roman"/>
                <w:color w:val="000000"/>
                <w:sz w:val="20"/>
                <w:szCs w:val="20"/>
              </w:rPr>
            </w:r>
            <w:r w:rsidRPr="00896AE4">
              <w:rPr>
                <w:rFonts w:ascii="Times New Roman" w:hAnsi="Times New Roman"/>
                <w:color w:val="000000"/>
                <w:sz w:val="20"/>
                <w:szCs w:val="20"/>
              </w:rPr>
              <w:fldChar w:fldCharType="separate"/>
            </w:r>
            <w:r w:rsidRPr="00896AE4">
              <w:rPr>
                <w:rFonts w:ascii="Times New Roman" w:hAnsi="Times New Roman"/>
                <w:color w:val="0000FF"/>
                <w:sz w:val="20"/>
                <w:szCs w:val="20"/>
              </w:rPr>
              <w:t>12 Cases that cite this headnote</w:t>
            </w:r>
            <w:r w:rsidRPr="00896AE4">
              <w:rPr>
                <w:rFonts w:ascii="Times New Roman" w:hAnsi="Times New Roman"/>
                <w:color w:val="000000"/>
                <w:sz w:val="20"/>
                <w:szCs w:val="20"/>
              </w:rPr>
              <w:fldChar w:fldCharType="end"/>
            </w:r>
          </w:p>
          <w:p w14:paraId="6E602436" w14:textId="77777777" w:rsidR="00000000" w:rsidRPr="00896AE4" w:rsidRDefault="00896AE4">
            <w:pPr>
              <w:widowControl w:val="0"/>
              <w:autoSpaceDE w:val="0"/>
              <w:autoSpaceDN w:val="0"/>
              <w:adjustRightInd w:val="0"/>
              <w:spacing w:after="200" w:line="240" w:lineRule="auto"/>
              <w:ind w:left="30" w:right="30"/>
              <w:rPr>
                <w:rFonts w:ascii="Times New Roman" w:hAnsi="Times New Roman"/>
                <w:color w:val="000000"/>
                <w:sz w:val="20"/>
                <w:szCs w:val="20"/>
              </w:rPr>
            </w:pPr>
          </w:p>
        </w:tc>
      </w:tr>
    </w:tbl>
    <w:p w14:paraId="11FF983F"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p>
    <w:p w14:paraId="1580595E"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37" w:name="co_anchor_1932122515008_1"/>
      <w:bookmarkEnd w:id="37"/>
    </w:p>
    <w:tbl>
      <w:tblPr>
        <w:tblW w:w="0" w:type="auto"/>
        <w:tblInd w:w="30" w:type="dxa"/>
        <w:tblLayout w:type="fixed"/>
        <w:tblCellMar>
          <w:left w:w="0" w:type="dxa"/>
          <w:right w:w="0" w:type="dxa"/>
        </w:tblCellMar>
        <w:tblLook w:val="0000" w:firstRow="0" w:lastRow="0" w:firstColumn="0" w:lastColumn="0" w:noHBand="0" w:noVBand="0"/>
      </w:tblPr>
      <w:tblGrid>
        <w:gridCol w:w="600"/>
        <w:gridCol w:w="4040"/>
      </w:tblGrid>
      <w:tr w:rsidR="00000000" w:rsidRPr="00896AE4" w14:paraId="0B8A989D"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bookmarkStart w:id="38" w:name="co_anchor_F81932122515_1"/>
          <w:bookmarkStart w:id="39" w:name="co_anchor_headNote_[8]_1"/>
          <w:bookmarkEnd w:id="38"/>
          <w:bookmarkEnd w:id="39"/>
          <w:p w14:paraId="77F132A0"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r w:rsidRPr="00896AE4">
              <w:rPr>
                <w:rFonts w:ascii="Times New Roman" w:hAnsi="Times New Roman"/>
                <w:b/>
                <w:bCs/>
                <w:color w:val="000000"/>
                <w:sz w:val="20"/>
                <w:szCs w:val="20"/>
              </w:rPr>
              <w:fldChar w:fldCharType="begin"/>
            </w:r>
            <w:r w:rsidRPr="00896AE4">
              <w:rPr>
                <w:rFonts w:ascii="Times New Roman" w:hAnsi="Times New Roman"/>
                <w:b/>
                <w:bCs/>
                <w:color w:val="000000"/>
                <w:sz w:val="20"/>
                <w:szCs w:val="20"/>
              </w:rPr>
              <w:instrText xml:space="preserve">HYPERLINK "#co_anchor_B81932122515_1" </w:instrText>
            </w:r>
            <w:r w:rsidR="00C40BA5" w:rsidRPr="00896AE4">
              <w:rPr>
                <w:rFonts w:ascii="Times New Roman" w:hAnsi="Times New Roman"/>
                <w:b/>
                <w:bCs/>
                <w:color w:val="000000"/>
                <w:sz w:val="20"/>
                <w:szCs w:val="20"/>
              </w:rPr>
            </w:r>
            <w:r w:rsidRPr="00896AE4">
              <w:rPr>
                <w:rFonts w:ascii="Times New Roman" w:hAnsi="Times New Roman"/>
                <w:b/>
                <w:bCs/>
                <w:color w:val="000000"/>
                <w:sz w:val="20"/>
                <w:szCs w:val="20"/>
              </w:rPr>
              <w:fldChar w:fldCharType="separate"/>
            </w:r>
            <w:r w:rsidRPr="00896AE4">
              <w:rPr>
                <w:rFonts w:ascii="Times New Roman" w:hAnsi="Times New Roman"/>
                <w:b/>
                <w:bCs/>
                <w:color w:val="0000FF"/>
                <w:sz w:val="20"/>
                <w:szCs w:val="20"/>
              </w:rPr>
              <w:t>[8]</w:t>
            </w:r>
            <w:r w:rsidRPr="00896AE4">
              <w:rPr>
                <w:rFonts w:ascii="Times New Roman" w:hAnsi="Times New Roman"/>
                <w:b/>
                <w:bCs/>
                <w:color w:val="000000"/>
                <w:sz w:val="20"/>
                <w:szCs w:val="20"/>
              </w:rPr>
              <w:fldChar w:fldCharType="end"/>
            </w:r>
          </w:p>
          <w:p w14:paraId="7B302F43"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p>
        </w:tc>
        <w:tc>
          <w:tcPr>
            <w:tcW w:w="4040" w:type="dxa"/>
            <w:tcBorders>
              <w:top w:val="nil"/>
              <w:left w:val="nil"/>
              <w:bottom w:val="nil"/>
              <w:right w:val="nil"/>
            </w:tcBorders>
            <w:tcMar>
              <w:left w:w="30" w:type="dxa"/>
              <w:right w:w="30" w:type="dxa"/>
            </w:tcMar>
          </w:tcPr>
          <w:p w14:paraId="02922963"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hyperlink r:id="rId38" w:history="1">
              <w:r w:rsidRPr="00896AE4">
                <w:rPr>
                  <w:rFonts w:ascii="Times New Roman" w:hAnsi="Times New Roman"/>
                  <w:b/>
                  <w:bCs/>
                  <w:color w:val="0000FF"/>
                  <w:sz w:val="20"/>
                  <w:szCs w:val="20"/>
                </w:rPr>
                <w:t>Mines and Minerals</w:t>
              </w:r>
            </w:hyperlink>
            <w:r w:rsidRPr="00896AE4">
              <w:rPr>
                <w:rFonts w:ascii="Times New Roman" w:hAnsi="Times New Roman"/>
                <w:color w:val="000000"/>
                <w:sz w:val="20"/>
                <w:szCs w:val="20"/>
              </w:rPr>
              <w:pict w14:anchorId="259B8E8A">
                <v:shape id="_x0000_i1035" type="#_x0000_t75" style="width:10.5pt;height:6pt">
                  <v:imagedata r:id="rId13" o:title=""/>
                </v:shape>
              </w:pict>
            </w:r>
            <w:hyperlink r:id="rId39" w:history="1">
              <w:r w:rsidRPr="00896AE4">
                <w:rPr>
                  <w:rFonts w:ascii="Times New Roman" w:hAnsi="Times New Roman"/>
                  <w:color w:val="0000FF"/>
                  <w:sz w:val="20"/>
                  <w:szCs w:val="20"/>
                </w:rPr>
                <w:t>Procedure Before Commissions, Amount of Production</w:t>
              </w:r>
            </w:hyperlink>
          </w:p>
          <w:p w14:paraId="3C4A5ACF"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r>
      <w:tr w:rsidR="00000000" w:rsidRPr="00896AE4" w14:paraId="712E3F18"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p w14:paraId="5F0D683F"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c>
          <w:tcPr>
            <w:tcW w:w="4040" w:type="dxa"/>
            <w:tcBorders>
              <w:top w:val="nil"/>
              <w:left w:val="nil"/>
              <w:bottom w:val="nil"/>
              <w:right w:val="nil"/>
            </w:tcBorders>
            <w:tcMar>
              <w:left w:w="30" w:type="dxa"/>
              <w:right w:w="30" w:type="dxa"/>
            </w:tcMar>
          </w:tcPr>
          <w:p w14:paraId="20650EFB" w14:textId="77777777" w:rsidR="00000000" w:rsidRPr="00896AE4" w:rsidRDefault="00896AE4">
            <w:pPr>
              <w:widowControl w:val="0"/>
              <w:autoSpaceDE w:val="0"/>
              <w:autoSpaceDN w:val="0"/>
              <w:adjustRightInd w:val="0"/>
              <w:spacing w:after="20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t>That salaries and expenses of age</w:t>
            </w:r>
            <w:r w:rsidRPr="00896AE4">
              <w:rPr>
                <w:rFonts w:ascii="Times New Roman" w:hAnsi="Times New Roman"/>
                <w:color w:val="000000"/>
                <w:sz w:val="20"/>
                <w:szCs w:val="20"/>
              </w:rPr>
              <w:t xml:space="preserve">nts or employees of corporation commission hired to enforce statutory provisions for proration of oil and gas were paid from funds raised by interested operators, in absence of legislative appropriation, did not require setting aside of proration orders. </w:t>
            </w:r>
            <w:hyperlink r:id="rId40" w:history="1">
              <w:r w:rsidRPr="00896AE4">
                <w:rPr>
                  <w:rFonts w:ascii="Times New Roman" w:hAnsi="Times New Roman"/>
                  <w:color w:val="0000FF"/>
                  <w:sz w:val="20"/>
                  <w:szCs w:val="20"/>
                </w:rPr>
                <w:t>52 Okl.St.Ann. §§ 271</w:t>
              </w:r>
            </w:hyperlink>
            <w:r w:rsidRPr="00896AE4">
              <w:rPr>
                <w:rFonts w:ascii="Times New Roman" w:hAnsi="Times New Roman"/>
                <w:color w:val="000000"/>
                <w:sz w:val="20"/>
                <w:szCs w:val="20"/>
              </w:rPr>
              <w:t xml:space="preserve">, </w:t>
            </w:r>
            <w:hyperlink r:id="rId41" w:history="1">
              <w:r w:rsidRPr="00896AE4">
                <w:rPr>
                  <w:rFonts w:ascii="Times New Roman" w:hAnsi="Times New Roman"/>
                  <w:color w:val="0000FF"/>
                  <w:sz w:val="20"/>
                  <w:szCs w:val="20"/>
                </w:rPr>
                <w:t>273</w:t>
              </w:r>
            </w:hyperlink>
            <w:r w:rsidRPr="00896AE4">
              <w:rPr>
                <w:rFonts w:ascii="Times New Roman" w:hAnsi="Times New Roman"/>
                <w:color w:val="000000"/>
                <w:sz w:val="20"/>
                <w:szCs w:val="20"/>
              </w:rPr>
              <w:t xml:space="preserve">, </w:t>
            </w:r>
            <w:hyperlink r:id="rId42" w:history="1">
              <w:r w:rsidRPr="00896AE4">
                <w:rPr>
                  <w:rFonts w:ascii="Times New Roman" w:hAnsi="Times New Roman"/>
                  <w:color w:val="0000FF"/>
                  <w:sz w:val="20"/>
                  <w:szCs w:val="20"/>
                </w:rPr>
                <w:t>274</w:t>
              </w:r>
            </w:hyperlink>
            <w:r w:rsidRPr="00896AE4">
              <w:rPr>
                <w:rFonts w:ascii="Times New Roman" w:hAnsi="Times New Roman"/>
                <w:color w:val="000000"/>
                <w:sz w:val="20"/>
                <w:szCs w:val="20"/>
              </w:rPr>
              <w:t>.</w:t>
            </w:r>
          </w:p>
          <w:bookmarkStart w:id="40" w:name="co_headnoteId_19321225150082020011706340"/>
          <w:bookmarkEnd w:id="40"/>
          <w:p w14:paraId="5FFC81B5" w14:textId="77777777" w:rsidR="00000000" w:rsidRPr="00896AE4" w:rsidRDefault="00896AE4">
            <w:pPr>
              <w:widowControl w:val="0"/>
              <w:autoSpaceDE w:val="0"/>
              <w:autoSpaceDN w:val="0"/>
              <w:adjustRightInd w:val="0"/>
              <w:spacing w:before="200" w:after="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fldChar w:fldCharType="begin"/>
            </w:r>
            <w:r w:rsidRPr="00896AE4">
              <w:rPr>
                <w:rFonts w:ascii="Times New Roman" w:hAnsi="Times New Roman"/>
                <w:color w:val="000000"/>
                <w:sz w:val="20"/>
                <w:szCs w:val="20"/>
              </w:rPr>
              <w:instrText>HYPERLINK "http://www.westlaw.com/Link/RelatedInformation/DocHeadnoteLink?docGuid=I82520ed09cc011d9a707f4371c9c34f0&amp;headnoteId</w:instrText>
            </w:r>
            <w:r w:rsidRPr="00896AE4">
              <w:rPr>
                <w:rFonts w:ascii="Times New Roman" w:hAnsi="Times New Roman"/>
                <w:color w:val="000000"/>
                <w:sz w:val="20"/>
                <w:szCs w:val="20"/>
              </w:rPr>
              <w:instrText xml:space="preserve">=193212251500820200117063401&amp;originationContext=document&amp;vr=3.0&amp;rs=cblt1.0&amp;transitionType=CitingReferences&amp;contextData=(sc.Search)" </w:instrText>
            </w:r>
            <w:r w:rsidR="00C40BA5" w:rsidRPr="00896AE4">
              <w:rPr>
                <w:rFonts w:ascii="Times New Roman" w:hAnsi="Times New Roman"/>
                <w:color w:val="000000"/>
                <w:sz w:val="20"/>
                <w:szCs w:val="20"/>
              </w:rPr>
            </w:r>
            <w:r w:rsidRPr="00896AE4">
              <w:rPr>
                <w:rFonts w:ascii="Times New Roman" w:hAnsi="Times New Roman"/>
                <w:color w:val="000000"/>
                <w:sz w:val="20"/>
                <w:szCs w:val="20"/>
              </w:rPr>
              <w:fldChar w:fldCharType="separate"/>
            </w:r>
            <w:r w:rsidRPr="00896AE4">
              <w:rPr>
                <w:rFonts w:ascii="Times New Roman" w:hAnsi="Times New Roman"/>
                <w:color w:val="0000FF"/>
                <w:sz w:val="20"/>
                <w:szCs w:val="20"/>
              </w:rPr>
              <w:t>10 Cases that cite this headnote</w:t>
            </w:r>
            <w:r w:rsidRPr="00896AE4">
              <w:rPr>
                <w:rFonts w:ascii="Times New Roman" w:hAnsi="Times New Roman"/>
                <w:color w:val="000000"/>
                <w:sz w:val="20"/>
                <w:szCs w:val="20"/>
              </w:rPr>
              <w:fldChar w:fldCharType="end"/>
            </w:r>
          </w:p>
          <w:p w14:paraId="7508E460" w14:textId="77777777" w:rsidR="00000000" w:rsidRPr="00896AE4" w:rsidRDefault="00896AE4">
            <w:pPr>
              <w:widowControl w:val="0"/>
              <w:autoSpaceDE w:val="0"/>
              <w:autoSpaceDN w:val="0"/>
              <w:adjustRightInd w:val="0"/>
              <w:spacing w:after="200" w:line="240" w:lineRule="auto"/>
              <w:ind w:left="30" w:right="30"/>
              <w:rPr>
                <w:rFonts w:ascii="Times New Roman" w:hAnsi="Times New Roman"/>
                <w:color w:val="000000"/>
                <w:sz w:val="20"/>
                <w:szCs w:val="20"/>
              </w:rPr>
            </w:pPr>
          </w:p>
        </w:tc>
      </w:tr>
    </w:tbl>
    <w:p w14:paraId="16375E41"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p>
    <w:p w14:paraId="652791B1"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41" w:name="co_anchor_1932122515009_1"/>
      <w:bookmarkEnd w:id="41"/>
    </w:p>
    <w:tbl>
      <w:tblPr>
        <w:tblW w:w="0" w:type="auto"/>
        <w:tblInd w:w="30" w:type="dxa"/>
        <w:tblLayout w:type="fixed"/>
        <w:tblCellMar>
          <w:left w:w="0" w:type="dxa"/>
          <w:right w:w="0" w:type="dxa"/>
        </w:tblCellMar>
        <w:tblLook w:val="0000" w:firstRow="0" w:lastRow="0" w:firstColumn="0" w:lastColumn="0" w:noHBand="0" w:noVBand="0"/>
      </w:tblPr>
      <w:tblGrid>
        <w:gridCol w:w="600"/>
        <w:gridCol w:w="4040"/>
      </w:tblGrid>
      <w:tr w:rsidR="00000000" w:rsidRPr="00896AE4" w14:paraId="41D6E81C"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bookmarkStart w:id="42" w:name="co_anchor_F91932122515_1"/>
          <w:bookmarkStart w:id="43" w:name="co_anchor_headNote_[9]_1"/>
          <w:bookmarkEnd w:id="42"/>
          <w:bookmarkEnd w:id="43"/>
          <w:p w14:paraId="3A0D2857"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r w:rsidRPr="00896AE4">
              <w:rPr>
                <w:rFonts w:ascii="Times New Roman" w:hAnsi="Times New Roman"/>
                <w:b/>
                <w:bCs/>
                <w:color w:val="000000"/>
                <w:sz w:val="20"/>
                <w:szCs w:val="20"/>
              </w:rPr>
              <w:fldChar w:fldCharType="begin"/>
            </w:r>
            <w:r w:rsidRPr="00896AE4">
              <w:rPr>
                <w:rFonts w:ascii="Times New Roman" w:hAnsi="Times New Roman"/>
                <w:b/>
                <w:bCs/>
                <w:color w:val="000000"/>
                <w:sz w:val="20"/>
                <w:szCs w:val="20"/>
              </w:rPr>
              <w:instrText xml:space="preserve">HYPERLINK "#co_anchor_B91932122515_1" </w:instrText>
            </w:r>
            <w:r w:rsidR="00C40BA5" w:rsidRPr="00896AE4">
              <w:rPr>
                <w:rFonts w:ascii="Times New Roman" w:hAnsi="Times New Roman"/>
                <w:b/>
                <w:bCs/>
                <w:color w:val="000000"/>
                <w:sz w:val="20"/>
                <w:szCs w:val="20"/>
              </w:rPr>
            </w:r>
            <w:r w:rsidRPr="00896AE4">
              <w:rPr>
                <w:rFonts w:ascii="Times New Roman" w:hAnsi="Times New Roman"/>
                <w:b/>
                <w:bCs/>
                <w:color w:val="000000"/>
                <w:sz w:val="20"/>
                <w:szCs w:val="20"/>
              </w:rPr>
              <w:fldChar w:fldCharType="separate"/>
            </w:r>
            <w:r w:rsidRPr="00896AE4">
              <w:rPr>
                <w:rFonts w:ascii="Times New Roman" w:hAnsi="Times New Roman"/>
                <w:b/>
                <w:bCs/>
                <w:color w:val="0000FF"/>
                <w:sz w:val="20"/>
                <w:szCs w:val="20"/>
              </w:rPr>
              <w:t>[9]</w:t>
            </w:r>
            <w:r w:rsidRPr="00896AE4">
              <w:rPr>
                <w:rFonts w:ascii="Times New Roman" w:hAnsi="Times New Roman"/>
                <w:b/>
                <w:bCs/>
                <w:color w:val="000000"/>
                <w:sz w:val="20"/>
                <w:szCs w:val="20"/>
              </w:rPr>
              <w:fldChar w:fldCharType="end"/>
            </w:r>
          </w:p>
          <w:p w14:paraId="25D160CE"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p>
        </w:tc>
        <w:tc>
          <w:tcPr>
            <w:tcW w:w="4040" w:type="dxa"/>
            <w:tcBorders>
              <w:top w:val="nil"/>
              <w:left w:val="nil"/>
              <w:bottom w:val="nil"/>
              <w:right w:val="nil"/>
            </w:tcBorders>
            <w:tcMar>
              <w:left w:w="30" w:type="dxa"/>
              <w:right w:w="30" w:type="dxa"/>
            </w:tcMar>
          </w:tcPr>
          <w:p w14:paraId="6C7B9873"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hyperlink r:id="rId43" w:history="1">
              <w:r w:rsidRPr="00896AE4">
                <w:rPr>
                  <w:rFonts w:ascii="Times New Roman" w:hAnsi="Times New Roman"/>
                  <w:b/>
                  <w:bCs/>
                  <w:color w:val="0000FF"/>
                  <w:sz w:val="20"/>
                  <w:szCs w:val="20"/>
                </w:rPr>
                <w:t>Injunction</w:t>
              </w:r>
            </w:hyperlink>
            <w:r w:rsidRPr="00896AE4">
              <w:rPr>
                <w:rFonts w:ascii="Times New Roman" w:hAnsi="Times New Roman"/>
                <w:color w:val="000000"/>
                <w:sz w:val="20"/>
                <w:szCs w:val="20"/>
              </w:rPr>
              <w:pict w14:anchorId="5BB80FF5">
                <v:shape id="_x0000_i1036" type="#_x0000_t75" style="width:10.5pt;height:6pt">
                  <v:imagedata r:id="rId13" o:title=""/>
                </v:shape>
              </w:pict>
            </w:r>
            <w:hyperlink r:id="rId44" w:history="1">
              <w:r w:rsidRPr="00896AE4">
                <w:rPr>
                  <w:rFonts w:ascii="Times New Roman" w:hAnsi="Times New Roman"/>
                  <w:color w:val="0000FF"/>
                  <w:sz w:val="20"/>
                  <w:szCs w:val="20"/>
                </w:rPr>
                <w:t>On ground of invalidity</w:t>
              </w:r>
            </w:hyperlink>
          </w:p>
          <w:p w14:paraId="5C9456E8"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r>
      <w:tr w:rsidR="00000000" w:rsidRPr="00896AE4" w14:paraId="452EBCA0"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p w14:paraId="6C934E3D"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c>
          <w:tcPr>
            <w:tcW w:w="4040" w:type="dxa"/>
            <w:tcBorders>
              <w:top w:val="nil"/>
              <w:left w:val="nil"/>
              <w:bottom w:val="nil"/>
              <w:right w:val="nil"/>
            </w:tcBorders>
            <w:tcMar>
              <w:left w:w="30" w:type="dxa"/>
              <w:right w:w="30" w:type="dxa"/>
            </w:tcMar>
          </w:tcPr>
          <w:p w14:paraId="6A2D72B8" w14:textId="77777777" w:rsidR="00000000" w:rsidRPr="00896AE4" w:rsidRDefault="00896AE4">
            <w:pPr>
              <w:widowControl w:val="0"/>
              <w:autoSpaceDE w:val="0"/>
              <w:autoSpaceDN w:val="0"/>
              <w:adjustRightInd w:val="0"/>
              <w:spacing w:after="20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t>Threatened enforcement of state law which contraven</w:t>
            </w:r>
            <w:r w:rsidRPr="00896AE4">
              <w:rPr>
                <w:rFonts w:ascii="Times New Roman" w:hAnsi="Times New Roman"/>
                <w:color w:val="000000"/>
                <w:sz w:val="20"/>
                <w:szCs w:val="20"/>
              </w:rPr>
              <w:t>es Federal Constitution will be enjoined, if necessary effectually to protect property rights and rights of persons against injuries otherwise irremediable.</w:t>
            </w:r>
          </w:p>
          <w:bookmarkStart w:id="44" w:name="co_headnoteId_19321225150092020011706340"/>
          <w:bookmarkEnd w:id="44"/>
          <w:p w14:paraId="6C96E0B9" w14:textId="77777777" w:rsidR="00000000" w:rsidRPr="00896AE4" w:rsidRDefault="00896AE4">
            <w:pPr>
              <w:widowControl w:val="0"/>
              <w:autoSpaceDE w:val="0"/>
              <w:autoSpaceDN w:val="0"/>
              <w:adjustRightInd w:val="0"/>
              <w:spacing w:before="200" w:after="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fldChar w:fldCharType="begin"/>
            </w:r>
            <w:r w:rsidRPr="00896AE4">
              <w:rPr>
                <w:rFonts w:ascii="Times New Roman" w:hAnsi="Times New Roman"/>
                <w:color w:val="000000"/>
                <w:sz w:val="20"/>
                <w:szCs w:val="20"/>
              </w:rPr>
              <w:instrText>HYPERLINK "http://www.westlaw.com/Link/RelatedInformation/DocHeadnoteLink?docGuid=I82520ed09cc011d9a707f4371c9c34f0&amp;headnoteId=193212251500920200117063401&amp;originationContext=document&amp;vr=3.0&amp;rs=cblt1.0&amp;transitionType=</w:instrText>
            </w:r>
            <w:r w:rsidRPr="00896AE4">
              <w:rPr>
                <w:rFonts w:ascii="Times New Roman" w:hAnsi="Times New Roman"/>
                <w:color w:val="000000"/>
                <w:sz w:val="20"/>
                <w:szCs w:val="20"/>
              </w:rPr>
              <w:instrText xml:space="preserve">CitingReferences&amp;contextData=(sc.Search)" </w:instrText>
            </w:r>
            <w:r w:rsidR="00C40BA5" w:rsidRPr="00896AE4">
              <w:rPr>
                <w:rFonts w:ascii="Times New Roman" w:hAnsi="Times New Roman"/>
                <w:color w:val="000000"/>
                <w:sz w:val="20"/>
                <w:szCs w:val="20"/>
              </w:rPr>
            </w:r>
            <w:r w:rsidRPr="00896AE4">
              <w:rPr>
                <w:rFonts w:ascii="Times New Roman" w:hAnsi="Times New Roman"/>
                <w:color w:val="000000"/>
                <w:sz w:val="20"/>
                <w:szCs w:val="20"/>
              </w:rPr>
              <w:fldChar w:fldCharType="separate"/>
            </w:r>
            <w:r w:rsidRPr="00896AE4">
              <w:rPr>
                <w:rFonts w:ascii="Times New Roman" w:hAnsi="Times New Roman"/>
                <w:color w:val="0000FF"/>
                <w:sz w:val="20"/>
                <w:szCs w:val="20"/>
              </w:rPr>
              <w:t>6 Cases that cite this headnote</w:t>
            </w:r>
            <w:r w:rsidRPr="00896AE4">
              <w:rPr>
                <w:rFonts w:ascii="Times New Roman" w:hAnsi="Times New Roman"/>
                <w:color w:val="000000"/>
                <w:sz w:val="20"/>
                <w:szCs w:val="20"/>
              </w:rPr>
              <w:fldChar w:fldCharType="end"/>
            </w:r>
          </w:p>
          <w:p w14:paraId="7337F7EA" w14:textId="77777777" w:rsidR="00000000" w:rsidRPr="00896AE4" w:rsidRDefault="00896AE4">
            <w:pPr>
              <w:widowControl w:val="0"/>
              <w:autoSpaceDE w:val="0"/>
              <w:autoSpaceDN w:val="0"/>
              <w:adjustRightInd w:val="0"/>
              <w:spacing w:after="200" w:line="240" w:lineRule="auto"/>
              <w:ind w:left="30" w:right="30"/>
              <w:rPr>
                <w:rFonts w:ascii="Times New Roman" w:hAnsi="Times New Roman"/>
                <w:color w:val="000000"/>
                <w:sz w:val="20"/>
                <w:szCs w:val="20"/>
              </w:rPr>
            </w:pPr>
          </w:p>
        </w:tc>
      </w:tr>
    </w:tbl>
    <w:p w14:paraId="2D072044"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p>
    <w:p w14:paraId="056D97E4"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45" w:name="co_anchor_1932122515010_1"/>
      <w:bookmarkEnd w:id="45"/>
    </w:p>
    <w:tbl>
      <w:tblPr>
        <w:tblW w:w="0" w:type="auto"/>
        <w:tblInd w:w="30" w:type="dxa"/>
        <w:tblLayout w:type="fixed"/>
        <w:tblCellMar>
          <w:left w:w="0" w:type="dxa"/>
          <w:right w:w="0" w:type="dxa"/>
        </w:tblCellMar>
        <w:tblLook w:val="0000" w:firstRow="0" w:lastRow="0" w:firstColumn="0" w:lastColumn="0" w:noHBand="0" w:noVBand="0"/>
      </w:tblPr>
      <w:tblGrid>
        <w:gridCol w:w="600"/>
        <w:gridCol w:w="4040"/>
      </w:tblGrid>
      <w:tr w:rsidR="00000000" w:rsidRPr="00896AE4" w14:paraId="3723D823"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bookmarkStart w:id="46" w:name="co_anchor_F101932122515_1"/>
          <w:bookmarkStart w:id="47" w:name="co_anchor_headNote_[10]_1"/>
          <w:bookmarkEnd w:id="46"/>
          <w:bookmarkEnd w:id="47"/>
          <w:p w14:paraId="5868A85E"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r w:rsidRPr="00896AE4">
              <w:rPr>
                <w:rFonts w:ascii="Times New Roman" w:hAnsi="Times New Roman"/>
                <w:b/>
                <w:bCs/>
                <w:color w:val="000000"/>
                <w:sz w:val="20"/>
                <w:szCs w:val="20"/>
              </w:rPr>
              <w:fldChar w:fldCharType="begin"/>
            </w:r>
            <w:r w:rsidRPr="00896AE4">
              <w:rPr>
                <w:rFonts w:ascii="Times New Roman" w:hAnsi="Times New Roman"/>
                <w:b/>
                <w:bCs/>
                <w:color w:val="000000"/>
                <w:sz w:val="20"/>
                <w:szCs w:val="20"/>
              </w:rPr>
              <w:instrText>HYPERLINK "#co_anchor_B10</w:instrText>
            </w:r>
            <w:r w:rsidRPr="00896AE4">
              <w:rPr>
                <w:rFonts w:ascii="Times New Roman" w:hAnsi="Times New Roman"/>
                <w:b/>
                <w:bCs/>
                <w:color w:val="000000"/>
                <w:sz w:val="20"/>
                <w:szCs w:val="20"/>
              </w:rPr>
              <w:instrText xml:space="preserve">1932122515_1" </w:instrText>
            </w:r>
            <w:r w:rsidR="00C40BA5" w:rsidRPr="00896AE4">
              <w:rPr>
                <w:rFonts w:ascii="Times New Roman" w:hAnsi="Times New Roman"/>
                <w:b/>
                <w:bCs/>
                <w:color w:val="000000"/>
                <w:sz w:val="20"/>
                <w:szCs w:val="20"/>
              </w:rPr>
            </w:r>
            <w:r w:rsidRPr="00896AE4">
              <w:rPr>
                <w:rFonts w:ascii="Times New Roman" w:hAnsi="Times New Roman"/>
                <w:b/>
                <w:bCs/>
                <w:color w:val="000000"/>
                <w:sz w:val="20"/>
                <w:szCs w:val="20"/>
              </w:rPr>
              <w:fldChar w:fldCharType="separate"/>
            </w:r>
            <w:r w:rsidRPr="00896AE4">
              <w:rPr>
                <w:rFonts w:ascii="Times New Roman" w:hAnsi="Times New Roman"/>
                <w:b/>
                <w:bCs/>
                <w:color w:val="0000FF"/>
                <w:sz w:val="20"/>
                <w:szCs w:val="20"/>
              </w:rPr>
              <w:t>[10]</w:t>
            </w:r>
            <w:r w:rsidRPr="00896AE4">
              <w:rPr>
                <w:rFonts w:ascii="Times New Roman" w:hAnsi="Times New Roman"/>
                <w:b/>
                <w:bCs/>
                <w:color w:val="000000"/>
                <w:sz w:val="20"/>
                <w:szCs w:val="20"/>
              </w:rPr>
              <w:fldChar w:fldCharType="end"/>
            </w:r>
          </w:p>
          <w:p w14:paraId="4210143C"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p>
        </w:tc>
        <w:tc>
          <w:tcPr>
            <w:tcW w:w="4040" w:type="dxa"/>
            <w:tcBorders>
              <w:top w:val="nil"/>
              <w:left w:val="nil"/>
              <w:bottom w:val="nil"/>
              <w:right w:val="nil"/>
            </w:tcBorders>
            <w:tcMar>
              <w:left w:w="30" w:type="dxa"/>
              <w:right w:w="30" w:type="dxa"/>
            </w:tcMar>
          </w:tcPr>
          <w:p w14:paraId="7DE525D3"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hyperlink r:id="rId45" w:history="1">
              <w:r w:rsidRPr="00896AE4">
                <w:rPr>
                  <w:rFonts w:ascii="Times New Roman" w:hAnsi="Times New Roman"/>
                  <w:b/>
                  <w:bCs/>
                  <w:color w:val="0000FF"/>
                  <w:sz w:val="20"/>
                  <w:szCs w:val="20"/>
                </w:rPr>
                <w:t>Injunction</w:t>
              </w:r>
            </w:hyperlink>
            <w:r w:rsidRPr="00896AE4">
              <w:rPr>
                <w:rFonts w:ascii="Times New Roman" w:hAnsi="Times New Roman"/>
                <w:color w:val="000000"/>
                <w:sz w:val="20"/>
                <w:szCs w:val="20"/>
              </w:rPr>
              <w:pict w14:anchorId="3F492350">
                <v:shape id="_x0000_i1037" type="#_x0000_t75" style="width:10.5pt;height:6pt">
                  <v:imagedata r:id="rId13" o:title=""/>
                </v:shape>
              </w:pict>
            </w:r>
            <w:hyperlink r:id="rId46" w:history="1">
              <w:r w:rsidRPr="00896AE4">
                <w:rPr>
                  <w:rFonts w:ascii="Times New Roman" w:hAnsi="Times New Roman"/>
                  <w:color w:val="0000FF"/>
                  <w:sz w:val="20"/>
                  <w:szCs w:val="20"/>
                </w:rPr>
                <w:t xml:space="preserve">Presumptions </w:t>
              </w:r>
              <w:r w:rsidRPr="00896AE4">
                <w:rPr>
                  <w:rFonts w:ascii="Times New Roman" w:hAnsi="Times New Roman"/>
                  <w:color w:val="0000FF"/>
                  <w:sz w:val="20"/>
                  <w:szCs w:val="20"/>
                </w:rPr>
                <w:t>and burden of proof</w:t>
              </w:r>
            </w:hyperlink>
          </w:p>
          <w:p w14:paraId="5AE8FC4C"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r>
      <w:tr w:rsidR="00000000" w:rsidRPr="00896AE4" w14:paraId="2D298C06"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p w14:paraId="75277919"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c>
          <w:tcPr>
            <w:tcW w:w="4040" w:type="dxa"/>
            <w:tcBorders>
              <w:top w:val="nil"/>
              <w:left w:val="nil"/>
              <w:bottom w:val="nil"/>
              <w:right w:val="nil"/>
            </w:tcBorders>
            <w:tcMar>
              <w:left w:w="30" w:type="dxa"/>
              <w:right w:w="30" w:type="dxa"/>
            </w:tcMar>
          </w:tcPr>
          <w:p w14:paraId="065DB1BE" w14:textId="77777777" w:rsidR="00000000" w:rsidRPr="00896AE4" w:rsidRDefault="00896AE4">
            <w:pPr>
              <w:widowControl w:val="0"/>
              <w:autoSpaceDE w:val="0"/>
              <w:autoSpaceDN w:val="0"/>
              <w:adjustRightInd w:val="0"/>
              <w:spacing w:after="20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t xml:space="preserve">Plaintiff seeking injunction to restrain enforcement of oil proration statute had burden to show that restraint against penal provision was necessary in order to protect its property rights. Comp.St.Okl.1921, </w:t>
            </w:r>
            <w:r w:rsidRPr="00896AE4">
              <w:rPr>
                <w:rFonts w:ascii="Times New Roman" w:hAnsi="Times New Roman"/>
                <w:color w:val="000000"/>
                <w:sz w:val="20"/>
                <w:szCs w:val="20"/>
              </w:rPr>
              <w:t>§</w:t>
            </w:r>
            <w:r w:rsidRPr="00896AE4">
              <w:rPr>
                <w:rFonts w:ascii="Times New Roman" w:hAnsi="Times New Roman"/>
                <w:color w:val="000000"/>
                <w:sz w:val="20"/>
                <w:szCs w:val="20"/>
              </w:rPr>
              <w:t xml:space="preserve"> 7961, </w:t>
            </w:r>
            <w:hyperlink r:id="rId47" w:history="1">
              <w:r w:rsidRPr="00896AE4">
                <w:rPr>
                  <w:rFonts w:ascii="Times New Roman" w:hAnsi="Times New Roman"/>
                  <w:color w:val="0000FF"/>
                  <w:sz w:val="20"/>
                  <w:szCs w:val="20"/>
                </w:rPr>
                <w:t>52 Okl.St.Ann. § 278</w:t>
              </w:r>
            </w:hyperlink>
            <w:r w:rsidRPr="00896AE4">
              <w:rPr>
                <w:rFonts w:ascii="Times New Roman" w:hAnsi="Times New Roman"/>
                <w:color w:val="000000"/>
                <w:sz w:val="20"/>
                <w:szCs w:val="20"/>
              </w:rPr>
              <w:t>.</w:t>
            </w:r>
          </w:p>
          <w:bookmarkStart w:id="48" w:name="co_headnoteId_19321225150102020011706340"/>
          <w:bookmarkEnd w:id="48"/>
          <w:p w14:paraId="53786AAA" w14:textId="77777777" w:rsidR="00000000" w:rsidRPr="00896AE4" w:rsidRDefault="00896AE4">
            <w:pPr>
              <w:widowControl w:val="0"/>
              <w:autoSpaceDE w:val="0"/>
              <w:autoSpaceDN w:val="0"/>
              <w:adjustRightInd w:val="0"/>
              <w:spacing w:before="200" w:after="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fldChar w:fldCharType="begin"/>
            </w:r>
            <w:r w:rsidRPr="00896AE4">
              <w:rPr>
                <w:rFonts w:ascii="Times New Roman" w:hAnsi="Times New Roman"/>
                <w:color w:val="000000"/>
                <w:sz w:val="20"/>
                <w:szCs w:val="20"/>
              </w:rPr>
              <w:instrText>HYPERLINK "http://www.westlaw.com/Link/RelatedInformation/DocHeadnoteLink?docGuid=I82520ed09cc011d9a707f4371c9c34f0&amp;headnoteId=193212251501020200117063401&amp;originationContext=document&amp;vr=3</w:instrText>
            </w:r>
            <w:r w:rsidRPr="00896AE4">
              <w:rPr>
                <w:rFonts w:ascii="Times New Roman" w:hAnsi="Times New Roman"/>
                <w:color w:val="000000"/>
                <w:sz w:val="20"/>
                <w:szCs w:val="20"/>
              </w:rPr>
              <w:instrText xml:space="preserve">.0&amp;rs=cblt1.0&amp;transitionType=CitingReferences&amp;contextData=(sc.Search)" </w:instrText>
            </w:r>
            <w:r w:rsidR="00C40BA5" w:rsidRPr="00896AE4">
              <w:rPr>
                <w:rFonts w:ascii="Times New Roman" w:hAnsi="Times New Roman"/>
                <w:color w:val="000000"/>
                <w:sz w:val="20"/>
                <w:szCs w:val="20"/>
              </w:rPr>
            </w:r>
            <w:r w:rsidRPr="00896AE4">
              <w:rPr>
                <w:rFonts w:ascii="Times New Roman" w:hAnsi="Times New Roman"/>
                <w:color w:val="000000"/>
                <w:sz w:val="20"/>
                <w:szCs w:val="20"/>
              </w:rPr>
              <w:fldChar w:fldCharType="separate"/>
            </w:r>
            <w:r w:rsidRPr="00896AE4">
              <w:rPr>
                <w:rFonts w:ascii="Times New Roman" w:hAnsi="Times New Roman"/>
                <w:color w:val="0000FF"/>
                <w:sz w:val="20"/>
                <w:szCs w:val="20"/>
              </w:rPr>
              <w:t>3 Cases that cite this headnote</w:t>
            </w:r>
            <w:r w:rsidRPr="00896AE4">
              <w:rPr>
                <w:rFonts w:ascii="Times New Roman" w:hAnsi="Times New Roman"/>
                <w:color w:val="000000"/>
                <w:sz w:val="20"/>
                <w:szCs w:val="20"/>
              </w:rPr>
              <w:fldChar w:fldCharType="end"/>
            </w:r>
          </w:p>
          <w:p w14:paraId="4DA0CEC7" w14:textId="77777777" w:rsidR="00000000" w:rsidRPr="00896AE4" w:rsidRDefault="00896AE4">
            <w:pPr>
              <w:widowControl w:val="0"/>
              <w:autoSpaceDE w:val="0"/>
              <w:autoSpaceDN w:val="0"/>
              <w:adjustRightInd w:val="0"/>
              <w:spacing w:after="200" w:line="240" w:lineRule="auto"/>
              <w:ind w:left="30" w:right="30"/>
              <w:rPr>
                <w:rFonts w:ascii="Times New Roman" w:hAnsi="Times New Roman"/>
                <w:color w:val="000000"/>
                <w:sz w:val="20"/>
                <w:szCs w:val="20"/>
              </w:rPr>
            </w:pPr>
          </w:p>
        </w:tc>
      </w:tr>
    </w:tbl>
    <w:p w14:paraId="2DED92F4"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p>
    <w:p w14:paraId="0E2B6D24"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49" w:name="co_anchor_1932122515011_1"/>
      <w:bookmarkEnd w:id="49"/>
    </w:p>
    <w:tbl>
      <w:tblPr>
        <w:tblW w:w="0" w:type="auto"/>
        <w:tblInd w:w="30" w:type="dxa"/>
        <w:tblLayout w:type="fixed"/>
        <w:tblCellMar>
          <w:left w:w="0" w:type="dxa"/>
          <w:right w:w="0" w:type="dxa"/>
        </w:tblCellMar>
        <w:tblLook w:val="0000" w:firstRow="0" w:lastRow="0" w:firstColumn="0" w:lastColumn="0" w:noHBand="0" w:noVBand="0"/>
      </w:tblPr>
      <w:tblGrid>
        <w:gridCol w:w="600"/>
        <w:gridCol w:w="4040"/>
      </w:tblGrid>
      <w:tr w:rsidR="00000000" w:rsidRPr="00896AE4" w14:paraId="1495820C"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bookmarkStart w:id="50" w:name="co_anchor_F111932122515_1"/>
          <w:bookmarkStart w:id="51" w:name="co_anchor_headNote_[11]_1"/>
          <w:bookmarkEnd w:id="50"/>
          <w:bookmarkEnd w:id="51"/>
          <w:p w14:paraId="3306B108"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r w:rsidRPr="00896AE4">
              <w:rPr>
                <w:rFonts w:ascii="Times New Roman" w:hAnsi="Times New Roman"/>
                <w:b/>
                <w:bCs/>
                <w:color w:val="000000"/>
                <w:sz w:val="20"/>
                <w:szCs w:val="20"/>
              </w:rPr>
              <w:fldChar w:fldCharType="begin"/>
            </w:r>
            <w:r w:rsidRPr="00896AE4">
              <w:rPr>
                <w:rFonts w:ascii="Times New Roman" w:hAnsi="Times New Roman"/>
                <w:b/>
                <w:bCs/>
                <w:color w:val="000000"/>
                <w:sz w:val="20"/>
                <w:szCs w:val="20"/>
              </w:rPr>
              <w:instrText xml:space="preserve">HYPERLINK "#co_anchor_B111932122515_1" </w:instrText>
            </w:r>
            <w:r w:rsidR="00C40BA5" w:rsidRPr="00896AE4">
              <w:rPr>
                <w:rFonts w:ascii="Times New Roman" w:hAnsi="Times New Roman"/>
                <w:b/>
                <w:bCs/>
                <w:color w:val="000000"/>
                <w:sz w:val="20"/>
                <w:szCs w:val="20"/>
              </w:rPr>
            </w:r>
            <w:r w:rsidRPr="00896AE4">
              <w:rPr>
                <w:rFonts w:ascii="Times New Roman" w:hAnsi="Times New Roman"/>
                <w:b/>
                <w:bCs/>
                <w:color w:val="000000"/>
                <w:sz w:val="20"/>
                <w:szCs w:val="20"/>
              </w:rPr>
              <w:fldChar w:fldCharType="separate"/>
            </w:r>
            <w:r w:rsidRPr="00896AE4">
              <w:rPr>
                <w:rFonts w:ascii="Times New Roman" w:hAnsi="Times New Roman"/>
                <w:b/>
                <w:bCs/>
                <w:color w:val="0000FF"/>
                <w:sz w:val="20"/>
                <w:szCs w:val="20"/>
              </w:rPr>
              <w:t>[11]</w:t>
            </w:r>
            <w:r w:rsidRPr="00896AE4">
              <w:rPr>
                <w:rFonts w:ascii="Times New Roman" w:hAnsi="Times New Roman"/>
                <w:b/>
                <w:bCs/>
                <w:color w:val="000000"/>
                <w:sz w:val="20"/>
                <w:szCs w:val="20"/>
              </w:rPr>
              <w:fldChar w:fldCharType="end"/>
            </w:r>
          </w:p>
          <w:p w14:paraId="22C2472A"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p>
        </w:tc>
        <w:tc>
          <w:tcPr>
            <w:tcW w:w="4040" w:type="dxa"/>
            <w:tcBorders>
              <w:top w:val="nil"/>
              <w:left w:val="nil"/>
              <w:bottom w:val="nil"/>
              <w:right w:val="nil"/>
            </w:tcBorders>
            <w:tcMar>
              <w:left w:w="30" w:type="dxa"/>
              <w:right w:w="30" w:type="dxa"/>
            </w:tcMar>
          </w:tcPr>
          <w:p w14:paraId="1230E622"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hyperlink r:id="rId48" w:history="1">
              <w:r w:rsidRPr="00896AE4">
                <w:rPr>
                  <w:rFonts w:ascii="Times New Roman" w:hAnsi="Times New Roman"/>
                  <w:b/>
                  <w:bCs/>
                  <w:color w:val="0000FF"/>
                  <w:sz w:val="20"/>
                  <w:szCs w:val="20"/>
                </w:rPr>
                <w:t>Mines and Minerals</w:t>
              </w:r>
            </w:hyperlink>
            <w:r w:rsidRPr="00896AE4">
              <w:rPr>
                <w:rFonts w:ascii="Times New Roman" w:hAnsi="Times New Roman"/>
                <w:color w:val="000000"/>
                <w:sz w:val="20"/>
                <w:szCs w:val="20"/>
              </w:rPr>
              <w:pict w14:anchorId="73DC90D2">
                <v:shape id="_x0000_i1038" type="#_x0000_t75" style="width:10.5pt;height:6pt">
                  <v:imagedata r:id="rId13" o:title=""/>
                </v:shape>
              </w:pict>
            </w:r>
            <w:hyperlink r:id="rId49" w:history="1">
              <w:r w:rsidRPr="00896AE4">
                <w:rPr>
                  <w:rFonts w:ascii="Times New Roman" w:hAnsi="Times New Roman"/>
                  <w:color w:val="0000FF"/>
                  <w:sz w:val="20"/>
                  <w:szCs w:val="20"/>
                </w:rPr>
                <w:t>Statutory provisions in general</w:t>
              </w:r>
            </w:hyperlink>
          </w:p>
          <w:p w14:paraId="78F971F3"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r>
      <w:tr w:rsidR="00000000" w:rsidRPr="00896AE4" w14:paraId="0066BFB0"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p w14:paraId="46AAC91F"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c>
          <w:tcPr>
            <w:tcW w:w="4040" w:type="dxa"/>
            <w:tcBorders>
              <w:top w:val="nil"/>
              <w:left w:val="nil"/>
              <w:bottom w:val="nil"/>
              <w:right w:val="nil"/>
            </w:tcBorders>
            <w:tcMar>
              <w:left w:w="30" w:type="dxa"/>
              <w:right w:w="30" w:type="dxa"/>
            </w:tcMar>
          </w:tcPr>
          <w:p w14:paraId="20F27E09" w14:textId="77777777" w:rsidR="00000000" w:rsidRPr="00896AE4" w:rsidRDefault="00896AE4">
            <w:pPr>
              <w:widowControl w:val="0"/>
              <w:autoSpaceDE w:val="0"/>
              <w:autoSpaceDN w:val="0"/>
              <w:adjustRightInd w:val="0"/>
              <w:spacing w:after="20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t>Statutory provi</w:t>
            </w:r>
            <w:r w:rsidRPr="00896AE4">
              <w:rPr>
                <w:rFonts w:ascii="Times New Roman" w:hAnsi="Times New Roman"/>
                <w:color w:val="000000"/>
                <w:sz w:val="20"/>
                <w:szCs w:val="20"/>
              </w:rPr>
              <w:t xml:space="preserve">sion for penalty for violation of act authorizing proration of oil and gas, if invalid, may be severed from other parts of act. </w:t>
            </w:r>
            <w:hyperlink r:id="rId50" w:history="1">
              <w:r w:rsidRPr="00896AE4">
                <w:rPr>
                  <w:rFonts w:ascii="Times New Roman" w:hAnsi="Times New Roman"/>
                  <w:color w:val="0000FF"/>
                  <w:sz w:val="20"/>
                  <w:szCs w:val="20"/>
                </w:rPr>
                <w:t>52 Okl.St.Ann. § 278</w:t>
              </w:r>
            </w:hyperlink>
            <w:r w:rsidRPr="00896AE4">
              <w:rPr>
                <w:rFonts w:ascii="Times New Roman" w:hAnsi="Times New Roman"/>
                <w:color w:val="000000"/>
                <w:sz w:val="20"/>
                <w:szCs w:val="20"/>
              </w:rPr>
              <w:t>.</w:t>
            </w:r>
          </w:p>
          <w:bookmarkStart w:id="52" w:name="co_headnoteId_19321225150112020011706340"/>
          <w:bookmarkEnd w:id="52"/>
          <w:p w14:paraId="11D9D598" w14:textId="77777777" w:rsidR="00000000" w:rsidRPr="00896AE4" w:rsidRDefault="00896AE4">
            <w:pPr>
              <w:widowControl w:val="0"/>
              <w:autoSpaceDE w:val="0"/>
              <w:autoSpaceDN w:val="0"/>
              <w:adjustRightInd w:val="0"/>
              <w:spacing w:before="200" w:after="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fldChar w:fldCharType="begin"/>
            </w:r>
            <w:r w:rsidRPr="00896AE4">
              <w:rPr>
                <w:rFonts w:ascii="Times New Roman" w:hAnsi="Times New Roman"/>
                <w:color w:val="000000"/>
                <w:sz w:val="20"/>
                <w:szCs w:val="20"/>
              </w:rPr>
              <w:instrText>HYPERLINK "http://ww</w:instrText>
            </w:r>
            <w:r w:rsidRPr="00896AE4">
              <w:rPr>
                <w:rFonts w:ascii="Times New Roman" w:hAnsi="Times New Roman"/>
                <w:color w:val="000000"/>
                <w:sz w:val="20"/>
                <w:szCs w:val="20"/>
              </w:rPr>
              <w:instrText xml:space="preserve">w.westlaw.com/Link/RelatedInformation/DocHeadnoteLink?docGuid=I82520ed09cc011d9a707f4371c9c34f0&amp;headnoteId=193212251501120200117063401&amp;originationContext=document&amp;vr=3.0&amp;rs=cblt1.0&amp;transitionType=CitingReferences&amp;contextData=(sc.Search)" </w:instrText>
            </w:r>
            <w:r w:rsidR="00C40BA5" w:rsidRPr="00896AE4">
              <w:rPr>
                <w:rFonts w:ascii="Times New Roman" w:hAnsi="Times New Roman"/>
                <w:color w:val="000000"/>
                <w:sz w:val="20"/>
                <w:szCs w:val="20"/>
              </w:rPr>
            </w:r>
            <w:r w:rsidRPr="00896AE4">
              <w:rPr>
                <w:rFonts w:ascii="Times New Roman" w:hAnsi="Times New Roman"/>
                <w:color w:val="000000"/>
                <w:sz w:val="20"/>
                <w:szCs w:val="20"/>
              </w:rPr>
              <w:fldChar w:fldCharType="separate"/>
            </w:r>
            <w:r w:rsidRPr="00896AE4">
              <w:rPr>
                <w:rFonts w:ascii="Times New Roman" w:hAnsi="Times New Roman"/>
                <w:color w:val="0000FF"/>
                <w:sz w:val="20"/>
                <w:szCs w:val="20"/>
              </w:rPr>
              <w:t>14 Cases that cite</w:t>
            </w:r>
            <w:r w:rsidRPr="00896AE4">
              <w:rPr>
                <w:rFonts w:ascii="Times New Roman" w:hAnsi="Times New Roman"/>
                <w:color w:val="0000FF"/>
                <w:sz w:val="20"/>
                <w:szCs w:val="20"/>
              </w:rPr>
              <w:t xml:space="preserve"> this headnote</w:t>
            </w:r>
            <w:r w:rsidRPr="00896AE4">
              <w:rPr>
                <w:rFonts w:ascii="Times New Roman" w:hAnsi="Times New Roman"/>
                <w:color w:val="000000"/>
                <w:sz w:val="20"/>
                <w:szCs w:val="20"/>
              </w:rPr>
              <w:fldChar w:fldCharType="end"/>
            </w:r>
          </w:p>
          <w:p w14:paraId="6CE3F624" w14:textId="77777777" w:rsidR="00000000" w:rsidRPr="00896AE4" w:rsidRDefault="00896AE4">
            <w:pPr>
              <w:widowControl w:val="0"/>
              <w:autoSpaceDE w:val="0"/>
              <w:autoSpaceDN w:val="0"/>
              <w:adjustRightInd w:val="0"/>
              <w:spacing w:after="200" w:line="240" w:lineRule="auto"/>
              <w:ind w:left="30" w:right="30"/>
              <w:rPr>
                <w:rFonts w:ascii="Times New Roman" w:hAnsi="Times New Roman"/>
                <w:color w:val="000000"/>
                <w:sz w:val="20"/>
                <w:szCs w:val="20"/>
              </w:rPr>
            </w:pPr>
          </w:p>
        </w:tc>
      </w:tr>
    </w:tbl>
    <w:p w14:paraId="00D4791D"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p>
    <w:p w14:paraId="72370D86"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53" w:name="co_anchor_1932122515012_1"/>
      <w:bookmarkEnd w:id="53"/>
    </w:p>
    <w:tbl>
      <w:tblPr>
        <w:tblW w:w="0" w:type="auto"/>
        <w:tblInd w:w="30" w:type="dxa"/>
        <w:tblLayout w:type="fixed"/>
        <w:tblCellMar>
          <w:left w:w="0" w:type="dxa"/>
          <w:right w:w="0" w:type="dxa"/>
        </w:tblCellMar>
        <w:tblLook w:val="0000" w:firstRow="0" w:lastRow="0" w:firstColumn="0" w:lastColumn="0" w:noHBand="0" w:noVBand="0"/>
      </w:tblPr>
      <w:tblGrid>
        <w:gridCol w:w="600"/>
        <w:gridCol w:w="4040"/>
      </w:tblGrid>
      <w:tr w:rsidR="00000000" w:rsidRPr="00896AE4" w14:paraId="6982BEF0"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bookmarkStart w:id="54" w:name="co_anchor_F121932122515_1"/>
          <w:bookmarkStart w:id="55" w:name="co_anchor_headNote_[12]_1"/>
          <w:bookmarkEnd w:id="54"/>
          <w:bookmarkEnd w:id="55"/>
          <w:p w14:paraId="450EBA8A"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r w:rsidRPr="00896AE4">
              <w:rPr>
                <w:rFonts w:ascii="Times New Roman" w:hAnsi="Times New Roman"/>
                <w:b/>
                <w:bCs/>
                <w:color w:val="000000"/>
                <w:sz w:val="20"/>
                <w:szCs w:val="20"/>
              </w:rPr>
              <w:fldChar w:fldCharType="begin"/>
            </w:r>
            <w:r w:rsidRPr="00896AE4">
              <w:rPr>
                <w:rFonts w:ascii="Times New Roman" w:hAnsi="Times New Roman"/>
                <w:b/>
                <w:bCs/>
                <w:color w:val="000000"/>
                <w:sz w:val="20"/>
                <w:szCs w:val="20"/>
              </w:rPr>
              <w:instrText xml:space="preserve">HYPERLINK "#co_anchor_B121932122515_1" </w:instrText>
            </w:r>
            <w:r w:rsidR="00C40BA5" w:rsidRPr="00896AE4">
              <w:rPr>
                <w:rFonts w:ascii="Times New Roman" w:hAnsi="Times New Roman"/>
                <w:b/>
                <w:bCs/>
                <w:color w:val="000000"/>
                <w:sz w:val="20"/>
                <w:szCs w:val="20"/>
              </w:rPr>
            </w:r>
            <w:r w:rsidRPr="00896AE4">
              <w:rPr>
                <w:rFonts w:ascii="Times New Roman" w:hAnsi="Times New Roman"/>
                <w:b/>
                <w:bCs/>
                <w:color w:val="000000"/>
                <w:sz w:val="20"/>
                <w:szCs w:val="20"/>
              </w:rPr>
              <w:fldChar w:fldCharType="separate"/>
            </w:r>
            <w:r w:rsidRPr="00896AE4">
              <w:rPr>
                <w:rFonts w:ascii="Times New Roman" w:hAnsi="Times New Roman"/>
                <w:b/>
                <w:bCs/>
                <w:color w:val="0000FF"/>
                <w:sz w:val="20"/>
                <w:szCs w:val="20"/>
              </w:rPr>
              <w:t>[12]</w:t>
            </w:r>
            <w:r w:rsidRPr="00896AE4">
              <w:rPr>
                <w:rFonts w:ascii="Times New Roman" w:hAnsi="Times New Roman"/>
                <w:b/>
                <w:bCs/>
                <w:color w:val="000000"/>
                <w:sz w:val="20"/>
                <w:szCs w:val="20"/>
              </w:rPr>
              <w:fldChar w:fldCharType="end"/>
            </w:r>
          </w:p>
          <w:p w14:paraId="61170BBC"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p>
        </w:tc>
        <w:tc>
          <w:tcPr>
            <w:tcW w:w="4040" w:type="dxa"/>
            <w:tcBorders>
              <w:top w:val="nil"/>
              <w:left w:val="nil"/>
              <w:bottom w:val="nil"/>
              <w:right w:val="nil"/>
            </w:tcBorders>
            <w:tcMar>
              <w:left w:w="30" w:type="dxa"/>
              <w:right w:w="30" w:type="dxa"/>
            </w:tcMar>
          </w:tcPr>
          <w:p w14:paraId="4C2A0FB3"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hyperlink r:id="rId51" w:history="1">
              <w:r w:rsidRPr="00896AE4">
                <w:rPr>
                  <w:rFonts w:ascii="Times New Roman" w:hAnsi="Times New Roman"/>
                  <w:b/>
                  <w:bCs/>
                  <w:color w:val="0000FF"/>
                  <w:sz w:val="20"/>
                  <w:szCs w:val="20"/>
                </w:rPr>
                <w:t>Constitutional Law</w:t>
              </w:r>
            </w:hyperlink>
            <w:r w:rsidRPr="00896AE4">
              <w:rPr>
                <w:rFonts w:ascii="Times New Roman" w:hAnsi="Times New Roman"/>
                <w:color w:val="000000"/>
                <w:sz w:val="20"/>
                <w:szCs w:val="20"/>
              </w:rPr>
              <w:pict w14:anchorId="6FACC38B">
                <v:shape id="_x0000_i1039" type="#_x0000_t75" style="width:10.5pt;height:6pt">
                  <v:imagedata r:id="rId13" o:title=""/>
                </v:shape>
              </w:pict>
            </w:r>
            <w:hyperlink r:id="rId52" w:history="1">
              <w:r w:rsidRPr="00896AE4">
                <w:rPr>
                  <w:rFonts w:ascii="Times New Roman" w:hAnsi="Times New Roman"/>
                  <w:color w:val="0000FF"/>
                  <w:sz w:val="20"/>
                  <w:szCs w:val="20"/>
                </w:rPr>
                <w:t>Necessity of Determination</w:t>
              </w:r>
            </w:hyperlink>
          </w:p>
          <w:p w14:paraId="04A92F28"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r>
      <w:tr w:rsidR="00000000" w:rsidRPr="00896AE4" w14:paraId="151AA496"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p w14:paraId="57E3D9DF"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c>
          <w:tcPr>
            <w:tcW w:w="4040" w:type="dxa"/>
            <w:tcBorders>
              <w:top w:val="nil"/>
              <w:left w:val="nil"/>
              <w:bottom w:val="nil"/>
              <w:right w:val="nil"/>
            </w:tcBorders>
            <w:tcMar>
              <w:left w:w="30" w:type="dxa"/>
              <w:right w:w="30" w:type="dxa"/>
            </w:tcMar>
          </w:tcPr>
          <w:p w14:paraId="5B2A344D" w14:textId="77777777" w:rsidR="00000000" w:rsidRPr="00896AE4" w:rsidRDefault="00896AE4">
            <w:pPr>
              <w:widowControl w:val="0"/>
              <w:autoSpaceDE w:val="0"/>
              <w:autoSpaceDN w:val="0"/>
              <w:adjustRightInd w:val="0"/>
              <w:spacing w:after="20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t xml:space="preserve">In suit to enjoin enforcement of statute authorizing proration of oil and gas, no question of validity of provision for penalty was involved, where plaintiff failed to show its rights were directly affected by any danger of </w:t>
            </w:r>
            <w:r w:rsidRPr="00896AE4">
              <w:rPr>
                <w:rFonts w:ascii="Times New Roman" w:hAnsi="Times New Roman"/>
                <w:color w:val="000000"/>
                <w:sz w:val="20"/>
                <w:szCs w:val="20"/>
              </w:rPr>
              <w:lastRenderedPageBreak/>
              <w:t xml:space="preserve">prosecution. </w:t>
            </w:r>
            <w:hyperlink r:id="rId53" w:history="1">
              <w:r w:rsidRPr="00896AE4">
                <w:rPr>
                  <w:rFonts w:ascii="Times New Roman" w:hAnsi="Times New Roman"/>
                  <w:color w:val="0000FF"/>
                  <w:sz w:val="20"/>
                  <w:szCs w:val="20"/>
                </w:rPr>
                <w:t>52 Okl.St.An</w:t>
              </w:r>
              <w:r w:rsidRPr="00896AE4">
                <w:rPr>
                  <w:rFonts w:ascii="Times New Roman" w:hAnsi="Times New Roman"/>
                  <w:color w:val="0000FF"/>
                  <w:sz w:val="20"/>
                  <w:szCs w:val="20"/>
                </w:rPr>
                <w:t>n. § 278</w:t>
              </w:r>
            </w:hyperlink>
            <w:r w:rsidRPr="00896AE4">
              <w:rPr>
                <w:rFonts w:ascii="Times New Roman" w:hAnsi="Times New Roman"/>
                <w:color w:val="000000"/>
                <w:sz w:val="20"/>
                <w:szCs w:val="20"/>
              </w:rPr>
              <w:t>.</w:t>
            </w:r>
          </w:p>
          <w:bookmarkStart w:id="56" w:name="co_headnoteId_19321225150122020011706340"/>
          <w:bookmarkEnd w:id="56"/>
          <w:p w14:paraId="7D254436" w14:textId="77777777" w:rsidR="00000000" w:rsidRPr="00896AE4" w:rsidRDefault="00896AE4">
            <w:pPr>
              <w:widowControl w:val="0"/>
              <w:autoSpaceDE w:val="0"/>
              <w:autoSpaceDN w:val="0"/>
              <w:adjustRightInd w:val="0"/>
              <w:spacing w:before="200" w:after="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fldChar w:fldCharType="begin"/>
            </w:r>
            <w:r w:rsidRPr="00896AE4">
              <w:rPr>
                <w:rFonts w:ascii="Times New Roman" w:hAnsi="Times New Roman"/>
                <w:color w:val="000000"/>
                <w:sz w:val="20"/>
                <w:szCs w:val="20"/>
              </w:rPr>
              <w:instrText>HYPERLINK "http://www.westlaw.com/Link/RelatedInformation/DocHeadnoteLink?docGuid=I82520ed09cc011d9a707f4371c9c34f0&amp;headnoteId=193212251501220200117063401&amp;originat</w:instrText>
            </w:r>
            <w:r w:rsidRPr="00896AE4">
              <w:rPr>
                <w:rFonts w:ascii="Times New Roman" w:hAnsi="Times New Roman"/>
                <w:color w:val="000000"/>
                <w:sz w:val="20"/>
                <w:szCs w:val="20"/>
              </w:rPr>
              <w:instrText xml:space="preserve">ionContext=document&amp;vr=3.0&amp;rs=cblt1.0&amp;transitionType=CitingReferences&amp;contextData=(sc.Search)" </w:instrText>
            </w:r>
            <w:r w:rsidR="00C40BA5" w:rsidRPr="00896AE4">
              <w:rPr>
                <w:rFonts w:ascii="Times New Roman" w:hAnsi="Times New Roman"/>
                <w:color w:val="000000"/>
                <w:sz w:val="20"/>
                <w:szCs w:val="20"/>
              </w:rPr>
            </w:r>
            <w:r w:rsidRPr="00896AE4">
              <w:rPr>
                <w:rFonts w:ascii="Times New Roman" w:hAnsi="Times New Roman"/>
                <w:color w:val="000000"/>
                <w:sz w:val="20"/>
                <w:szCs w:val="20"/>
              </w:rPr>
              <w:fldChar w:fldCharType="separate"/>
            </w:r>
            <w:r w:rsidRPr="00896AE4">
              <w:rPr>
                <w:rFonts w:ascii="Times New Roman" w:hAnsi="Times New Roman"/>
                <w:color w:val="0000FF"/>
                <w:sz w:val="20"/>
                <w:szCs w:val="20"/>
              </w:rPr>
              <w:t>3 Cases that cite this headnote</w:t>
            </w:r>
            <w:r w:rsidRPr="00896AE4">
              <w:rPr>
                <w:rFonts w:ascii="Times New Roman" w:hAnsi="Times New Roman"/>
                <w:color w:val="000000"/>
                <w:sz w:val="20"/>
                <w:szCs w:val="20"/>
              </w:rPr>
              <w:fldChar w:fldCharType="end"/>
            </w:r>
          </w:p>
          <w:p w14:paraId="19B6CE72" w14:textId="77777777" w:rsidR="00000000" w:rsidRPr="00896AE4" w:rsidRDefault="00896AE4">
            <w:pPr>
              <w:widowControl w:val="0"/>
              <w:autoSpaceDE w:val="0"/>
              <w:autoSpaceDN w:val="0"/>
              <w:adjustRightInd w:val="0"/>
              <w:spacing w:after="200" w:line="240" w:lineRule="auto"/>
              <w:ind w:left="30" w:right="30"/>
              <w:rPr>
                <w:rFonts w:ascii="Times New Roman" w:hAnsi="Times New Roman"/>
                <w:color w:val="000000"/>
                <w:sz w:val="20"/>
                <w:szCs w:val="20"/>
              </w:rPr>
            </w:pPr>
          </w:p>
        </w:tc>
      </w:tr>
    </w:tbl>
    <w:p w14:paraId="3A28D8AC"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p>
    <w:p w14:paraId="4C0D1194"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57" w:name="co_anchor_1932122515013_1"/>
      <w:bookmarkEnd w:id="57"/>
    </w:p>
    <w:tbl>
      <w:tblPr>
        <w:tblW w:w="0" w:type="auto"/>
        <w:tblInd w:w="30" w:type="dxa"/>
        <w:tblLayout w:type="fixed"/>
        <w:tblCellMar>
          <w:left w:w="0" w:type="dxa"/>
          <w:right w:w="0" w:type="dxa"/>
        </w:tblCellMar>
        <w:tblLook w:val="0000" w:firstRow="0" w:lastRow="0" w:firstColumn="0" w:lastColumn="0" w:noHBand="0" w:noVBand="0"/>
      </w:tblPr>
      <w:tblGrid>
        <w:gridCol w:w="600"/>
        <w:gridCol w:w="4040"/>
      </w:tblGrid>
      <w:tr w:rsidR="00000000" w:rsidRPr="00896AE4" w14:paraId="0ACEE845"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bookmarkStart w:id="58" w:name="co_anchor_F131932122515_1"/>
          <w:bookmarkStart w:id="59" w:name="co_anchor_headNote_[13]_1"/>
          <w:bookmarkEnd w:id="58"/>
          <w:bookmarkEnd w:id="59"/>
          <w:p w14:paraId="2C684577"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r w:rsidRPr="00896AE4">
              <w:rPr>
                <w:rFonts w:ascii="Times New Roman" w:hAnsi="Times New Roman"/>
                <w:b/>
                <w:bCs/>
                <w:color w:val="000000"/>
                <w:sz w:val="20"/>
                <w:szCs w:val="20"/>
              </w:rPr>
              <w:fldChar w:fldCharType="begin"/>
            </w:r>
            <w:r w:rsidRPr="00896AE4">
              <w:rPr>
                <w:rFonts w:ascii="Times New Roman" w:hAnsi="Times New Roman"/>
                <w:b/>
                <w:bCs/>
                <w:color w:val="000000"/>
                <w:sz w:val="20"/>
                <w:szCs w:val="20"/>
              </w:rPr>
              <w:instrText xml:space="preserve">HYPERLINK "#co_anchor_B131932122515_1" </w:instrText>
            </w:r>
            <w:r w:rsidR="00C40BA5" w:rsidRPr="00896AE4">
              <w:rPr>
                <w:rFonts w:ascii="Times New Roman" w:hAnsi="Times New Roman"/>
                <w:b/>
                <w:bCs/>
                <w:color w:val="000000"/>
                <w:sz w:val="20"/>
                <w:szCs w:val="20"/>
              </w:rPr>
            </w:r>
            <w:r w:rsidRPr="00896AE4">
              <w:rPr>
                <w:rFonts w:ascii="Times New Roman" w:hAnsi="Times New Roman"/>
                <w:b/>
                <w:bCs/>
                <w:color w:val="000000"/>
                <w:sz w:val="20"/>
                <w:szCs w:val="20"/>
              </w:rPr>
              <w:fldChar w:fldCharType="separate"/>
            </w:r>
            <w:r w:rsidRPr="00896AE4">
              <w:rPr>
                <w:rFonts w:ascii="Times New Roman" w:hAnsi="Times New Roman"/>
                <w:b/>
                <w:bCs/>
                <w:color w:val="0000FF"/>
                <w:sz w:val="20"/>
                <w:szCs w:val="20"/>
              </w:rPr>
              <w:t>[13]</w:t>
            </w:r>
            <w:r w:rsidRPr="00896AE4">
              <w:rPr>
                <w:rFonts w:ascii="Times New Roman" w:hAnsi="Times New Roman"/>
                <w:b/>
                <w:bCs/>
                <w:color w:val="000000"/>
                <w:sz w:val="20"/>
                <w:szCs w:val="20"/>
              </w:rPr>
              <w:fldChar w:fldCharType="end"/>
            </w:r>
          </w:p>
          <w:p w14:paraId="373DB2E2"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p>
        </w:tc>
        <w:tc>
          <w:tcPr>
            <w:tcW w:w="4040" w:type="dxa"/>
            <w:tcBorders>
              <w:top w:val="nil"/>
              <w:left w:val="nil"/>
              <w:bottom w:val="nil"/>
              <w:right w:val="nil"/>
            </w:tcBorders>
            <w:tcMar>
              <w:left w:w="30" w:type="dxa"/>
              <w:right w:w="30" w:type="dxa"/>
            </w:tcMar>
          </w:tcPr>
          <w:p w14:paraId="55045AF9"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hyperlink r:id="rId54" w:history="1">
              <w:r w:rsidRPr="00896AE4">
                <w:rPr>
                  <w:rFonts w:ascii="Times New Roman" w:hAnsi="Times New Roman"/>
                  <w:b/>
                  <w:bCs/>
                  <w:color w:val="0000FF"/>
                  <w:sz w:val="20"/>
                  <w:szCs w:val="20"/>
                </w:rPr>
                <w:t>Appeal and Error</w:t>
              </w:r>
            </w:hyperlink>
            <w:r w:rsidRPr="00896AE4">
              <w:rPr>
                <w:rFonts w:ascii="Times New Roman" w:hAnsi="Times New Roman"/>
                <w:color w:val="000000"/>
                <w:sz w:val="20"/>
                <w:szCs w:val="20"/>
              </w:rPr>
              <w:pict w14:anchorId="51D6A40E">
                <v:shape id="_x0000_i1040" type="#_x0000_t75" style="width:10.5pt;height:6pt">
                  <v:imagedata r:id="rId13" o:title=""/>
                </v:shape>
              </w:pict>
            </w:r>
            <w:hyperlink r:id="rId55" w:history="1">
              <w:r w:rsidRPr="00896AE4">
                <w:rPr>
                  <w:rFonts w:ascii="Times New Roman" w:hAnsi="Times New Roman"/>
                  <w:color w:val="0000FF"/>
                  <w:sz w:val="20"/>
                  <w:szCs w:val="20"/>
                </w:rPr>
                <w:t>Authority of court or judge</w:t>
              </w:r>
            </w:hyperlink>
          </w:p>
          <w:p w14:paraId="2322D841"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r>
      <w:tr w:rsidR="00000000" w:rsidRPr="00896AE4" w14:paraId="7A53C353"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p w14:paraId="3EB14A73"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c>
          <w:tcPr>
            <w:tcW w:w="4040" w:type="dxa"/>
            <w:tcBorders>
              <w:top w:val="nil"/>
              <w:left w:val="nil"/>
              <w:bottom w:val="nil"/>
              <w:right w:val="nil"/>
            </w:tcBorders>
            <w:tcMar>
              <w:left w:w="30" w:type="dxa"/>
              <w:right w:w="30" w:type="dxa"/>
            </w:tcMar>
          </w:tcPr>
          <w:p w14:paraId="3281FE23" w14:textId="77777777" w:rsidR="00000000" w:rsidRPr="00896AE4" w:rsidRDefault="00896AE4">
            <w:pPr>
              <w:widowControl w:val="0"/>
              <w:autoSpaceDE w:val="0"/>
              <w:autoSpaceDN w:val="0"/>
              <w:adjustRightInd w:val="0"/>
              <w:spacing w:after="20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t>Trial co</w:t>
            </w:r>
            <w:r w:rsidRPr="00896AE4">
              <w:rPr>
                <w:rFonts w:ascii="Times New Roman" w:hAnsi="Times New Roman"/>
                <w:color w:val="000000"/>
                <w:sz w:val="20"/>
                <w:szCs w:val="20"/>
              </w:rPr>
              <w:t>urt has authority to stay enforcement of orders attacked as invalid, pending determination of appeal from denial of plaintiff’s motion for temporary injunction.</w:t>
            </w:r>
          </w:p>
          <w:bookmarkStart w:id="60" w:name="co_headnoteId_19321225150132020011706340"/>
          <w:bookmarkEnd w:id="60"/>
          <w:p w14:paraId="3FFF4ED2" w14:textId="77777777" w:rsidR="00000000" w:rsidRPr="00896AE4" w:rsidRDefault="00896AE4">
            <w:pPr>
              <w:widowControl w:val="0"/>
              <w:autoSpaceDE w:val="0"/>
              <w:autoSpaceDN w:val="0"/>
              <w:adjustRightInd w:val="0"/>
              <w:spacing w:before="200" w:after="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fldChar w:fldCharType="begin"/>
            </w:r>
            <w:r w:rsidRPr="00896AE4">
              <w:rPr>
                <w:rFonts w:ascii="Times New Roman" w:hAnsi="Times New Roman"/>
                <w:color w:val="000000"/>
                <w:sz w:val="20"/>
                <w:szCs w:val="20"/>
              </w:rPr>
              <w:instrText>HYPERLINK "http</w:instrText>
            </w:r>
            <w:r w:rsidRPr="00896AE4">
              <w:rPr>
                <w:rFonts w:ascii="Times New Roman" w:hAnsi="Times New Roman"/>
                <w:color w:val="000000"/>
                <w:sz w:val="20"/>
                <w:szCs w:val="20"/>
              </w:rPr>
              <w:instrText xml:space="preserve">://www.westlaw.com/Link/RelatedInformation/DocHeadnoteLink?docGuid=I82520ed09cc011d9a707f4371c9c34f0&amp;headnoteId=193212251501320200117063401&amp;originationContext=document&amp;vr=3.0&amp;rs=cblt1.0&amp;transitionType=CitingReferences&amp;contextData=(sc.Search)" </w:instrText>
            </w:r>
            <w:r w:rsidR="00C40BA5" w:rsidRPr="00896AE4">
              <w:rPr>
                <w:rFonts w:ascii="Times New Roman" w:hAnsi="Times New Roman"/>
                <w:color w:val="000000"/>
                <w:sz w:val="20"/>
                <w:szCs w:val="20"/>
              </w:rPr>
            </w:r>
            <w:r w:rsidRPr="00896AE4">
              <w:rPr>
                <w:rFonts w:ascii="Times New Roman" w:hAnsi="Times New Roman"/>
                <w:color w:val="000000"/>
                <w:sz w:val="20"/>
                <w:szCs w:val="20"/>
              </w:rPr>
              <w:fldChar w:fldCharType="separate"/>
            </w:r>
            <w:r w:rsidRPr="00896AE4">
              <w:rPr>
                <w:rFonts w:ascii="Times New Roman" w:hAnsi="Times New Roman"/>
                <w:color w:val="0000FF"/>
                <w:sz w:val="20"/>
                <w:szCs w:val="20"/>
              </w:rPr>
              <w:t xml:space="preserve">7 Cases that </w:t>
            </w:r>
            <w:r w:rsidRPr="00896AE4">
              <w:rPr>
                <w:rFonts w:ascii="Times New Roman" w:hAnsi="Times New Roman"/>
                <w:color w:val="0000FF"/>
                <w:sz w:val="20"/>
                <w:szCs w:val="20"/>
              </w:rPr>
              <w:t>cite this headnote</w:t>
            </w:r>
            <w:r w:rsidRPr="00896AE4">
              <w:rPr>
                <w:rFonts w:ascii="Times New Roman" w:hAnsi="Times New Roman"/>
                <w:color w:val="000000"/>
                <w:sz w:val="20"/>
                <w:szCs w:val="20"/>
              </w:rPr>
              <w:fldChar w:fldCharType="end"/>
            </w:r>
          </w:p>
          <w:p w14:paraId="407F9A6B" w14:textId="77777777" w:rsidR="00000000" w:rsidRPr="00896AE4" w:rsidRDefault="00896AE4">
            <w:pPr>
              <w:widowControl w:val="0"/>
              <w:autoSpaceDE w:val="0"/>
              <w:autoSpaceDN w:val="0"/>
              <w:adjustRightInd w:val="0"/>
              <w:spacing w:after="200" w:line="240" w:lineRule="auto"/>
              <w:ind w:left="30" w:right="30"/>
              <w:rPr>
                <w:rFonts w:ascii="Times New Roman" w:hAnsi="Times New Roman"/>
                <w:color w:val="000000"/>
                <w:sz w:val="20"/>
                <w:szCs w:val="20"/>
              </w:rPr>
            </w:pPr>
          </w:p>
        </w:tc>
      </w:tr>
    </w:tbl>
    <w:p w14:paraId="7A7939CA"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p>
    <w:p w14:paraId="17AAF74B"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61" w:name="co_anchor_1932122515014_1"/>
      <w:bookmarkEnd w:id="61"/>
    </w:p>
    <w:tbl>
      <w:tblPr>
        <w:tblW w:w="0" w:type="auto"/>
        <w:tblInd w:w="30" w:type="dxa"/>
        <w:tblLayout w:type="fixed"/>
        <w:tblCellMar>
          <w:left w:w="0" w:type="dxa"/>
          <w:right w:w="0" w:type="dxa"/>
        </w:tblCellMar>
        <w:tblLook w:val="0000" w:firstRow="0" w:lastRow="0" w:firstColumn="0" w:lastColumn="0" w:noHBand="0" w:noVBand="0"/>
      </w:tblPr>
      <w:tblGrid>
        <w:gridCol w:w="600"/>
        <w:gridCol w:w="4040"/>
      </w:tblGrid>
      <w:tr w:rsidR="00000000" w:rsidRPr="00896AE4" w14:paraId="53AD715B"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bookmarkStart w:id="62" w:name="co_anchor_F141932122515_1"/>
          <w:bookmarkStart w:id="63" w:name="co_anchor_headNote_[14]_1"/>
          <w:bookmarkEnd w:id="62"/>
          <w:bookmarkEnd w:id="63"/>
          <w:p w14:paraId="14DDA3EF"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r w:rsidRPr="00896AE4">
              <w:rPr>
                <w:rFonts w:ascii="Times New Roman" w:hAnsi="Times New Roman"/>
                <w:b/>
                <w:bCs/>
                <w:color w:val="000000"/>
                <w:sz w:val="20"/>
                <w:szCs w:val="20"/>
              </w:rPr>
              <w:fldChar w:fldCharType="begin"/>
            </w:r>
            <w:r w:rsidRPr="00896AE4">
              <w:rPr>
                <w:rFonts w:ascii="Times New Roman" w:hAnsi="Times New Roman"/>
                <w:b/>
                <w:bCs/>
                <w:color w:val="000000"/>
                <w:sz w:val="20"/>
                <w:szCs w:val="20"/>
              </w:rPr>
              <w:instrText xml:space="preserve">HYPERLINK "#co_anchor_B141932122515_1" </w:instrText>
            </w:r>
            <w:r w:rsidR="00C40BA5" w:rsidRPr="00896AE4">
              <w:rPr>
                <w:rFonts w:ascii="Times New Roman" w:hAnsi="Times New Roman"/>
                <w:b/>
                <w:bCs/>
                <w:color w:val="000000"/>
                <w:sz w:val="20"/>
                <w:szCs w:val="20"/>
              </w:rPr>
            </w:r>
            <w:r w:rsidRPr="00896AE4">
              <w:rPr>
                <w:rFonts w:ascii="Times New Roman" w:hAnsi="Times New Roman"/>
                <w:b/>
                <w:bCs/>
                <w:color w:val="000000"/>
                <w:sz w:val="20"/>
                <w:szCs w:val="20"/>
              </w:rPr>
              <w:fldChar w:fldCharType="separate"/>
            </w:r>
            <w:r w:rsidRPr="00896AE4">
              <w:rPr>
                <w:rFonts w:ascii="Times New Roman" w:hAnsi="Times New Roman"/>
                <w:b/>
                <w:bCs/>
                <w:color w:val="0000FF"/>
                <w:sz w:val="20"/>
                <w:szCs w:val="20"/>
              </w:rPr>
              <w:t>[14]</w:t>
            </w:r>
            <w:r w:rsidRPr="00896AE4">
              <w:rPr>
                <w:rFonts w:ascii="Times New Roman" w:hAnsi="Times New Roman"/>
                <w:b/>
                <w:bCs/>
                <w:color w:val="000000"/>
                <w:sz w:val="20"/>
                <w:szCs w:val="20"/>
              </w:rPr>
              <w:fldChar w:fldCharType="end"/>
            </w:r>
          </w:p>
          <w:p w14:paraId="15E6B755"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p>
        </w:tc>
        <w:tc>
          <w:tcPr>
            <w:tcW w:w="4040" w:type="dxa"/>
            <w:tcBorders>
              <w:top w:val="nil"/>
              <w:left w:val="nil"/>
              <w:bottom w:val="nil"/>
              <w:right w:val="nil"/>
            </w:tcBorders>
            <w:tcMar>
              <w:left w:w="30" w:type="dxa"/>
              <w:right w:w="30" w:type="dxa"/>
            </w:tcMar>
          </w:tcPr>
          <w:p w14:paraId="4F13F180"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hyperlink r:id="rId56" w:history="1">
              <w:r w:rsidRPr="00896AE4">
                <w:rPr>
                  <w:rFonts w:ascii="Times New Roman" w:hAnsi="Times New Roman"/>
                  <w:b/>
                  <w:bCs/>
                  <w:color w:val="0000FF"/>
                  <w:sz w:val="20"/>
                  <w:szCs w:val="20"/>
                </w:rPr>
                <w:t>Mines and Minerals</w:t>
              </w:r>
            </w:hyperlink>
            <w:r w:rsidRPr="00896AE4">
              <w:rPr>
                <w:rFonts w:ascii="Times New Roman" w:hAnsi="Times New Roman"/>
                <w:color w:val="000000"/>
                <w:sz w:val="20"/>
                <w:szCs w:val="20"/>
              </w:rPr>
              <w:pict w14:anchorId="326090F7">
                <v:shape id="_x0000_i1041" type="#_x0000_t75" style="width:10.5pt;height:6pt">
                  <v:imagedata r:id="rId13" o:title=""/>
                </v:shape>
              </w:pict>
            </w:r>
            <w:hyperlink r:id="rId57" w:history="1">
              <w:r w:rsidRPr="00896AE4">
                <w:rPr>
                  <w:rFonts w:ascii="Times New Roman" w:hAnsi="Times New Roman"/>
                  <w:color w:val="0000FF"/>
                  <w:sz w:val="20"/>
                  <w:szCs w:val="20"/>
                </w:rPr>
                <w:t>Injunction</w:t>
              </w:r>
            </w:hyperlink>
          </w:p>
          <w:p w14:paraId="4B248920"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r>
      <w:tr w:rsidR="00000000" w:rsidRPr="00896AE4" w14:paraId="47B8F4A4"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p w14:paraId="3FE29D01"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c>
          <w:tcPr>
            <w:tcW w:w="4040" w:type="dxa"/>
            <w:tcBorders>
              <w:top w:val="nil"/>
              <w:left w:val="nil"/>
              <w:bottom w:val="nil"/>
              <w:right w:val="nil"/>
            </w:tcBorders>
            <w:tcMar>
              <w:left w:w="30" w:type="dxa"/>
              <w:right w:w="30" w:type="dxa"/>
            </w:tcMar>
          </w:tcPr>
          <w:p w14:paraId="73AE0D3F" w14:textId="77777777" w:rsidR="00000000" w:rsidRPr="00896AE4" w:rsidRDefault="00896AE4">
            <w:pPr>
              <w:widowControl w:val="0"/>
              <w:autoSpaceDE w:val="0"/>
              <w:autoSpaceDN w:val="0"/>
              <w:adjustRightInd w:val="0"/>
              <w:spacing w:after="20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t xml:space="preserve">In suit to </w:t>
            </w:r>
            <w:r w:rsidRPr="00896AE4">
              <w:rPr>
                <w:rFonts w:ascii="Times New Roman" w:hAnsi="Times New Roman"/>
                <w:color w:val="000000"/>
                <w:sz w:val="20"/>
                <w:szCs w:val="20"/>
              </w:rPr>
              <w:t xml:space="preserve">enjoin enforcement of oil proration orders and to restrain prosecution of state court receivership proceedings, question of validity of statutory provision for receivership held properly presented, though Attorney General had dismissed receivership suit. </w:t>
            </w:r>
            <w:hyperlink r:id="rId58" w:history="1">
              <w:r w:rsidRPr="00896AE4">
                <w:rPr>
                  <w:rFonts w:ascii="Times New Roman" w:hAnsi="Times New Roman"/>
                  <w:color w:val="0000FF"/>
                  <w:sz w:val="20"/>
                  <w:szCs w:val="20"/>
                </w:rPr>
                <w:t>52 Okl.St.Ann. § 278</w:t>
              </w:r>
            </w:hyperlink>
            <w:r w:rsidRPr="00896AE4">
              <w:rPr>
                <w:rFonts w:ascii="Times New Roman" w:hAnsi="Times New Roman"/>
                <w:color w:val="000000"/>
                <w:sz w:val="20"/>
                <w:szCs w:val="20"/>
              </w:rPr>
              <w:t xml:space="preserve"> note.</w:t>
            </w:r>
          </w:p>
          <w:bookmarkStart w:id="64" w:name="co_headnoteId_19321225150142020011706340"/>
          <w:bookmarkEnd w:id="64"/>
          <w:p w14:paraId="773F1A93" w14:textId="77777777" w:rsidR="00000000" w:rsidRPr="00896AE4" w:rsidRDefault="00896AE4">
            <w:pPr>
              <w:widowControl w:val="0"/>
              <w:autoSpaceDE w:val="0"/>
              <w:autoSpaceDN w:val="0"/>
              <w:adjustRightInd w:val="0"/>
              <w:spacing w:before="200" w:after="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fldChar w:fldCharType="begin"/>
            </w:r>
            <w:r w:rsidRPr="00896AE4">
              <w:rPr>
                <w:rFonts w:ascii="Times New Roman" w:hAnsi="Times New Roman"/>
                <w:color w:val="000000"/>
                <w:sz w:val="20"/>
                <w:szCs w:val="20"/>
              </w:rPr>
              <w:instrText>HYPERLINK "http://www.westlaw.com/Link/RelatedInformation/DocHeadnoteLink?docGuid=I82520ed09cc011d9a707f4371c9c34f0&amp;headnoteId=193212251501420200117063401&amp;originationContext=document&amp;vr=3.0&amp;rs=cblt1.0&amp;transitionType=CitingReferences&amp;contextData=(sc.Search)</w:instrText>
            </w:r>
            <w:r w:rsidRPr="00896AE4">
              <w:rPr>
                <w:rFonts w:ascii="Times New Roman" w:hAnsi="Times New Roman"/>
                <w:color w:val="000000"/>
                <w:sz w:val="20"/>
                <w:szCs w:val="20"/>
              </w:rPr>
              <w:instrText xml:space="preserve">" </w:instrText>
            </w:r>
            <w:r w:rsidR="00C40BA5" w:rsidRPr="00896AE4">
              <w:rPr>
                <w:rFonts w:ascii="Times New Roman" w:hAnsi="Times New Roman"/>
                <w:color w:val="000000"/>
                <w:sz w:val="20"/>
                <w:szCs w:val="20"/>
              </w:rPr>
            </w:r>
            <w:r w:rsidRPr="00896AE4">
              <w:rPr>
                <w:rFonts w:ascii="Times New Roman" w:hAnsi="Times New Roman"/>
                <w:color w:val="000000"/>
                <w:sz w:val="20"/>
                <w:szCs w:val="20"/>
              </w:rPr>
              <w:fldChar w:fldCharType="separate"/>
            </w:r>
            <w:r w:rsidRPr="00896AE4">
              <w:rPr>
                <w:rFonts w:ascii="Times New Roman" w:hAnsi="Times New Roman"/>
                <w:color w:val="0000FF"/>
                <w:sz w:val="20"/>
                <w:szCs w:val="20"/>
              </w:rPr>
              <w:t>3 Cases that cite this headnote</w:t>
            </w:r>
            <w:r w:rsidRPr="00896AE4">
              <w:rPr>
                <w:rFonts w:ascii="Times New Roman" w:hAnsi="Times New Roman"/>
                <w:color w:val="000000"/>
                <w:sz w:val="20"/>
                <w:szCs w:val="20"/>
              </w:rPr>
              <w:fldChar w:fldCharType="end"/>
            </w:r>
          </w:p>
          <w:p w14:paraId="4AEB80CC" w14:textId="77777777" w:rsidR="00000000" w:rsidRPr="00896AE4" w:rsidRDefault="00896AE4">
            <w:pPr>
              <w:widowControl w:val="0"/>
              <w:autoSpaceDE w:val="0"/>
              <w:autoSpaceDN w:val="0"/>
              <w:adjustRightInd w:val="0"/>
              <w:spacing w:after="200" w:line="240" w:lineRule="auto"/>
              <w:ind w:left="30" w:right="30"/>
              <w:rPr>
                <w:rFonts w:ascii="Times New Roman" w:hAnsi="Times New Roman"/>
                <w:color w:val="000000"/>
                <w:sz w:val="20"/>
                <w:szCs w:val="20"/>
              </w:rPr>
            </w:pPr>
          </w:p>
        </w:tc>
      </w:tr>
    </w:tbl>
    <w:p w14:paraId="1D8E0BF3"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p>
    <w:p w14:paraId="6D6D30FB"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65" w:name="co_anchor_1932122515015_1"/>
      <w:bookmarkEnd w:id="65"/>
    </w:p>
    <w:tbl>
      <w:tblPr>
        <w:tblW w:w="0" w:type="auto"/>
        <w:tblInd w:w="30" w:type="dxa"/>
        <w:tblLayout w:type="fixed"/>
        <w:tblCellMar>
          <w:left w:w="0" w:type="dxa"/>
          <w:right w:w="0" w:type="dxa"/>
        </w:tblCellMar>
        <w:tblLook w:val="0000" w:firstRow="0" w:lastRow="0" w:firstColumn="0" w:lastColumn="0" w:noHBand="0" w:noVBand="0"/>
      </w:tblPr>
      <w:tblGrid>
        <w:gridCol w:w="600"/>
        <w:gridCol w:w="4040"/>
      </w:tblGrid>
      <w:tr w:rsidR="00000000" w:rsidRPr="00896AE4" w14:paraId="3485E07F"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bookmarkStart w:id="66" w:name="co_anchor_F151932122515_1"/>
          <w:bookmarkStart w:id="67" w:name="co_anchor_headNote_[15]_1"/>
          <w:bookmarkEnd w:id="66"/>
          <w:bookmarkEnd w:id="67"/>
          <w:p w14:paraId="10FD06DF"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r w:rsidRPr="00896AE4">
              <w:rPr>
                <w:rFonts w:ascii="Times New Roman" w:hAnsi="Times New Roman"/>
                <w:b/>
                <w:bCs/>
                <w:color w:val="000000"/>
                <w:sz w:val="20"/>
                <w:szCs w:val="20"/>
              </w:rPr>
              <w:fldChar w:fldCharType="begin"/>
            </w:r>
            <w:r w:rsidRPr="00896AE4">
              <w:rPr>
                <w:rFonts w:ascii="Times New Roman" w:hAnsi="Times New Roman"/>
                <w:b/>
                <w:bCs/>
                <w:color w:val="000000"/>
                <w:sz w:val="20"/>
                <w:szCs w:val="20"/>
              </w:rPr>
              <w:instrText xml:space="preserve">HYPERLINK "#co_anchor_B151932122515_1" </w:instrText>
            </w:r>
            <w:r w:rsidR="00C40BA5" w:rsidRPr="00896AE4">
              <w:rPr>
                <w:rFonts w:ascii="Times New Roman" w:hAnsi="Times New Roman"/>
                <w:b/>
                <w:bCs/>
                <w:color w:val="000000"/>
                <w:sz w:val="20"/>
                <w:szCs w:val="20"/>
              </w:rPr>
            </w:r>
            <w:r w:rsidRPr="00896AE4">
              <w:rPr>
                <w:rFonts w:ascii="Times New Roman" w:hAnsi="Times New Roman"/>
                <w:b/>
                <w:bCs/>
                <w:color w:val="000000"/>
                <w:sz w:val="20"/>
                <w:szCs w:val="20"/>
              </w:rPr>
              <w:fldChar w:fldCharType="separate"/>
            </w:r>
            <w:r w:rsidRPr="00896AE4">
              <w:rPr>
                <w:rFonts w:ascii="Times New Roman" w:hAnsi="Times New Roman"/>
                <w:b/>
                <w:bCs/>
                <w:color w:val="0000FF"/>
                <w:sz w:val="20"/>
                <w:szCs w:val="20"/>
              </w:rPr>
              <w:t>[15]</w:t>
            </w:r>
            <w:r w:rsidRPr="00896AE4">
              <w:rPr>
                <w:rFonts w:ascii="Times New Roman" w:hAnsi="Times New Roman"/>
                <w:b/>
                <w:bCs/>
                <w:color w:val="000000"/>
                <w:sz w:val="20"/>
                <w:szCs w:val="20"/>
              </w:rPr>
              <w:fldChar w:fldCharType="end"/>
            </w:r>
          </w:p>
          <w:p w14:paraId="55FD4BE3"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p>
        </w:tc>
        <w:tc>
          <w:tcPr>
            <w:tcW w:w="4040" w:type="dxa"/>
            <w:tcBorders>
              <w:top w:val="nil"/>
              <w:left w:val="nil"/>
              <w:bottom w:val="nil"/>
              <w:right w:val="nil"/>
            </w:tcBorders>
            <w:tcMar>
              <w:left w:w="30" w:type="dxa"/>
              <w:right w:w="30" w:type="dxa"/>
            </w:tcMar>
          </w:tcPr>
          <w:p w14:paraId="71552A1D"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hyperlink r:id="rId59" w:history="1">
              <w:r w:rsidRPr="00896AE4">
                <w:rPr>
                  <w:rFonts w:ascii="Times New Roman" w:hAnsi="Times New Roman"/>
                  <w:b/>
                  <w:bCs/>
                  <w:color w:val="0000FF"/>
                  <w:sz w:val="20"/>
                  <w:szCs w:val="20"/>
                </w:rPr>
                <w:t>Mines and Minerals</w:t>
              </w:r>
            </w:hyperlink>
            <w:r w:rsidRPr="00896AE4">
              <w:rPr>
                <w:rFonts w:ascii="Times New Roman" w:hAnsi="Times New Roman"/>
                <w:color w:val="000000"/>
                <w:sz w:val="20"/>
                <w:szCs w:val="20"/>
              </w:rPr>
              <w:pict w14:anchorId="3DA63271">
                <v:shape id="_x0000_i1042" type="#_x0000_t75" style="width:10.5pt;height:6pt">
                  <v:imagedata r:id="rId13" o:title=""/>
                </v:shape>
              </w:pict>
            </w:r>
            <w:hyperlink r:id="rId60" w:history="1">
              <w:r w:rsidRPr="00896AE4">
                <w:rPr>
                  <w:rFonts w:ascii="Times New Roman" w:hAnsi="Times New Roman"/>
                  <w:color w:val="0000FF"/>
                  <w:sz w:val="20"/>
                  <w:szCs w:val="20"/>
                </w:rPr>
                <w:t>Statutory provisions in general</w:t>
              </w:r>
            </w:hyperlink>
          </w:p>
          <w:p w14:paraId="6B3D94E4"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r>
      <w:tr w:rsidR="00000000" w:rsidRPr="00896AE4" w14:paraId="017642EF"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p w14:paraId="0F0230BF"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c>
          <w:tcPr>
            <w:tcW w:w="4040" w:type="dxa"/>
            <w:tcBorders>
              <w:top w:val="nil"/>
              <w:left w:val="nil"/>
              <w:bottom w:val="nil"/>
              <w:right w:val="nil"/>
            </w:tcBorders>
            <w:tcMar>
              <w:left w:w="30" w:type="dxa"/>
              <w:right w:w="30" w:type="dxa"/>
            </w:tcMar>
          </w:tcPr>
          <w:p w14:paraId="6214C33C" w14:textId="77777777" w:rsidR="00000000" w:rsidRPr="00896AE4" w:rsidRDefault="00896AE4">
            <w:pPr>
              <w:widowControl w:val="0"/>
              <w:autoSpaceDE w:val="0"/>
              <w:autoSpaceDN w:val="0"/>
              <w:adjustRightInd w:val="0"/>
              <w:spacing w:after="20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t xml:space="preserve">Provision for receivership of oil property in case of oil operator’s violation of provisions of act prohibiting waste and authorizing proration held void as penal provision, and as giving insufficient information as to conduct penalized. </w:t>
            </w:r>
            <w:hyperlink r:id="rId61" w:history="1">
              <w:r w:rsidRPr="00896AE4">
                <w:rPr>
                  <w:rFonts w:ascii="Times New Roman" w:hAnsi="Times New Roman"/>
                  <w:color w:val="0000FF"/>
                  <w:sz w:val="20"/>
                  <w:szCs w:val="20"/>
                </w:rPr>
                <w:t xml:space="preserve">52 Okl.St.Ann. </w:t>
              </w:r>
              <w:r w:rsidRPr="00896AE4">
                <w:rPr>
                  <w:rFonts w:ascii="Times New Roman" w:hAnsi="Times New Roman"/>
                  <w:color w:val="0000FF"/>
                  <w:sz w:val="20"/>
                  <w:szCs w:val="20"/>
                </w:rPr>
                <w:t>§ 278</w:t>
              </w:r>
            </w:hyperlink>
            <w:r w:rsidRPr="00896AE4">
              <w:rPr>
                <w:rFonts w:ascii="Times New Roman" w:hAnsi="Times New Roman"/>
                <w:color w:val="000000"/>
                <w:sz w:val="20"/>
                <w:szCs w:val="20"/>
              </w:rPr>
              <w:t xml:space="preserve"> note.</w:t>
            </w:r>
          </w:p>
          <w:bookmarkStart w:id="68" w:name="co_headnoteId_19321225150152020011706340"/>
          <w:bookmarkEnd w:id="68"/>
          <w:p w14:paraId="5192C94F" w14:textId="77777777" w:rsidR="00000000" w:rsidRPr="00896AE4" w:rsidRDefault="00896AE4">
            <w:pPr>
              <w:widowControl w:val="0"/>
              <w:autoSpaceDE w:val="0"/>
              <w:autoSpaceDN w:val="0"/>
              <w:adjustRightInd w:val="0"/>
              <w:spacing w:before="200" w:after="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fldChar w:fldCharType="begin"/>
            </w:r>
            <w:r w:rsidRPr="00896AE4">
              <w:rPr>
                <w:rFonts w:ascii="Times New Roman" w:hAnsi="Times New Roman"/>
                <w:color w:val="000000"/>
                <w:sz w:val="20"/>
                <w:szCs w:val="20"/>
              </w:rPr>
              <w:instrText>HYPERLINK "http://www.westlaw.com/Link/RelatedInformation/DocHeadnoteLink?docGuid=I82520ed09cc011d9a707f4371c9c34f0&amp;headnoteId=193212251501520200117063401&amp;origin</w:instrText>
            </w:r>
            <w:r w:rsidRPr="00896AE4">
              <w:rPr>
                <w:rFonts w:ascii="Times New Roman" w:hAnsi="Times New Roman"/>
                <w:color w:val="000000"/>
                <w:sz w:val="20"/>
                <w:szCs w:val="20"/>
              </w:rPr>
              <w:instrText xml:space="preserve">ationContext=document&amp;vr=3.0&amp;rs=cblt1.0&amp;transitionType=CitingReferences&amp;contextData=(sc.Search)" </w:instrText>
            </w:r>
            <w:r w:rsidR="00C40BA5" w:rsidRPr="00896AE4">
              <w:rPr>
                <w:rFonts w:ascii="Times New Roman" w:hAnsi="Times New Roman"/>
                <w:color w:val="000000"/>
                <w:sz w:val="20"/>
                <w:szCs w:val="20"/>
              </w:rPr>
            </w:r>
            <w:r w:rsidRPr="00896AE4">
              <w:rPr>
                <w:rFonts w:ascii="Times New Roman" w:hAnsi="Times New Roman"/>
                <w:color w:val="000000"/>
                <w:sz w:val="20"/>
                <w:szCs w:val="20"/>
              </w:rPr>
              <w:fldChar w:fldCharType="separate"/>
            </w:r>
            <w:r w:rsidRPr="00896AE4">
              <w:rPr>
                <w:rFonts w:ascii="Times New Roman" w:hAnsi="Times New Roman"/>
                <w:color w:val="0000FF"/>
                <w:sz w:val="20"/>
                <w:szCs w:val="20"/>
              </w:rPr>
              <w:t>4 Cases that cite this headnote</w:t>
            </w:r>
            <w:r w:rsidRPr="00896AE4">
              <w:rPr>
                <w:rFonts w:ascii="Times New Roman" w:hAnsi="Times New Roman"/>
                <w:color w:val="000000"/>
                <w:sz w:val="20"/>
                <w:szCs w:val="20"/>
              </w:rPr>
              <w:fldChar w:fldCharType="end"/>
            </w:r>
          </w:p>
          <w:p w14:paraId="0741C6DA" w14:textId="77777777" w:rsidR="00000000" w:rsidRPr="00896AE4" w:rsidRDefault="00896AE4">
            <w:pPr>
              <w:widowControl w:val="0"/>
              <w:autoSpaceDE w:val="0"/>
              <w:autoSpaceDN w:val="0"/>
              <w:adjustRightInd w:val="0"/>
              <w:spacing w:after="200" w:line="240" w:lineRule="auto"/>
              <w:ind w:left="30" w:right="30"/>
              <w:rPr>
                <w:rFonts w:ascii="Times New Roman" w:hAnsi="Times New Roman"/>
                <w:color w:val="000000"/>
                <w:sz w:val="20"/>
                <w:szCs w:val="20"/>
              </w:rPr>
            </w:pPr>
          </w:p>
        </w:tc>
      </w:tr>
    </w:tbl>
    <w:p w14:paraId="30F284F8"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p>
    <w:p w14:paraId="62E3F622"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69" w:name="co_anchor_1932122515016_1"/>
      <w:bookmarkEnd w:id="69"/>
    </w:p>
    <w:tbl>
      <w:tblPr>
        <w:tblW w:w="0" w:type="auto"/>
        <w:tblInd w:w="30" w:type="dxa"/>
        <w:tblLayout w:type="fixed"/>
        <w:tblCellMar>
          <w:left w:w="0" w:type="dxa"/>
          <w:right w:w="0" w:type="dxa"/>
        </w:tblCellMar>
        <w:tblLook w:val="0000" w:firstRow="0" w:lastRow="0" w:firstColumn="0" w:lastColumn="0" w:noHBand="0" w:noVBand="0"/>
      </w:tblPr>
      <w:tblGrid>
        <w:gridCol w:w="600"/>
        <w:gridCol w:w="4040"/>
      </w:tblGrid>
      <w:tr w:rsidR="00000000" w:rsidRPr="00896AE4" w14:paraId="7622B68C"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bookmarkStart w:id="70" w:name="co_anchor_F161932122515_1"/>
          <w:bookmarkStart w:id="71" w:name="co_anchor_headNote_[16]_1"/>
          <w:bookmarkEnd w:id="70"/>
          <w:bookmarkEnd w:id="71"/>
          <w:p w14:paraId="5E666C1A"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r w:rsidRPr="00896AE4">
              <w:rPr>
                <w:rFonts w:ascii="Times New Roman" w:hAnsi="Times New Roman"/>
                <w:b/>
                <w:bCs/>
                <w:color w:val="000000"/>
                <w:sz w:val="20"/>
                <w:szCs w:val="20"/>
              </w:rPr>
              <w:fldChar w:fldCharType="begin"/>
            </w:r>
            <w:r w:rsidRPr="00896AE4">
              <w:rPr>
                <w:rFonts w:ascii="Times New Roman" w:hAnsi="Times New Roman"/>
                <w:b/>
                <w:bCs/>
                <w:color w:val="000000"/>
                <w:sz w:val="20"/>
                <w:szCs w:val="20"/>
              </w:rPr>
              <w:instrText xml:space="preserve">HYPERLINK "#co_anchor_B161932122515_1" </w:instrText>
            </w:r>
            <w:r w:rsidR="00C40BA5" w:rsidRPr="00896AE4">
              <w:rPr>
                <w:rFonts w:ascii="Times New Roman" w:hAnsi="Times New Roman"/>
                <w:b/>
                <w:bCs/>
                <w:color w:val="000000"/>
                <w:sz w:val="20"/>
                <w:szCs w:val="20"/>
              </w:rPr>
            </w:r>
            <w:r w:rsidRPr="00896AE4">
              <w:rPr>
                <w:rFonts w:ascii="Times New Roman" w:hAnsi="Times New Roman"/>
                <w:b/>
                <w:bCs/>
                <w:color w:val="000000"/>
                <w:sz w:val="20"/>
                <w:szCs w:val="20"/>
              </w:rPr>
              <w:fldChar w:fldCharType="separate"/>
            </w:r>
            <w:r w:rsidRPr="00896AE4">
              <w:rPr>
                <w:rFonts w:ascii="Times New Roman" w:hAnsi="Times New Roman"/>
                <w:b/>
                <w:bCs/>
                <w:color w:val="0000FF"/>
                <w:sz w:val="20"/>
                <w:szCs w:val="20"/>
              </w:rPr>
              <w:t>[16]</w:t>
            </w:r>
            <w:r w:rsidRPr="00896AE4">
              <w:rPr>
                <w:rFonts w:ascii="Times New Roman" w:hAnsi="Times New Roman"/>
                <w:b/>
                <w:bCs/>
                <w:color w:val="000000"/>
                <w:sz w:val="20"/>
                <w:szCs w:val="20"/>
              </w:rPr>
              <w:fldChar w:fldCharType="end"/>
            </w:r>
          </w:p>
          <w:p w14:paraId="1A4DF944"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p>
        </w:tc>
        <w:tc>
          <w:tcPr>
            <w:tcW w:w="4040" w:type="dxa"/>
            <w:tcBorders>
              <w:top w:val="nil"/>
              <w:left w:val="nil"/>
              <w:bottom w:val="nil"/>
              <w:right w:val="nil"/>
            </w:tcBorders>
            <w:tcMar>
              <w:left w:w="30" w:type="dxa"/>
              <w:right w:w="30" w:type="dxa"/>
            </w:tcMar>
          </w:tcPr>
          <w:p w14:paraId="3C6054AF"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hyperlink r:id="rId62" w:history="1">
              <w:r w:rsidRPr="00896AE4">
                <w:rPr>
                  <w:rFonts w:ascii="Times New Roman" w:hAnsi="Times New Roman"/>
                  <w:b/>
                  <w:bCs/>
                  <w:color w:val="0000FF"/>
                  <w:sz w:val="20"/>
                  <w:szCs w:val="20"/>
                </w:rPr>
                <w:t>Constitutional Law</w:t>
              </w:r>
            </w:hyperlink>
            <w:r w:rsidRPr="00896AE4">
              <w:rPr>
                <w:rFonts w:ascii="Times New Roman" w:hAnsi="Times New Roman"/>
                <w:color w:val="000000"/>
                <w:sz w:val="20"/>
                <w:szCs w:val="20"/>
              </w:rPr>
              <w:pict w14:anchorId="2BE9E34E">
                <v:shape id="_x0000_i1043" type="#_x0000_t75" style="width:10.5pt;height:6pt">
                  <v:imagedata r:id="rId13" o:title=""/>
                </v:shape>
              </w:pict>
            </w:r>
            <w:hyperlink r:id="rId63" w:history="1">
              <w:r w:rsidRPr="00896AE4">
                <w:rPr>
                  <w:rFonts w:ascii="Times New Roman" w:hAnsi="Times New Roman"/>
                  <w:color w:val="0000FF"/>
                  <w:sz w:val="20"/>
                  <w:szCs w:val="20"/>
                </w:rPr>
                <w:t>Statutes</w:t>
              </w:r>
            </w:hyperlink>
          </w:p>
          <w:p w14:paraId="569D9324"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r>
      <w:tr w:rsidR="00000000" w:rsidRPr="00896AE4" w14:paraId="66B028CB"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p w14:paraId="2CC21D56"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c>
          <w:tcPr>
            <w:tcW w:w="4040" w:type="dxa"/>
            <w:tcBorders>
              <w:top w:val="nil"/>
              <w:left w:val="nil"/>
              <w:bottom w:val="nil"/>
              <w:right w:val="nil"/>
            </w:tcBorders>
            <w:tcMar>
              <w:left w:w="30" w:type="dxa"/>
              <w:right w:w="30" w:type="dxa"/>
            </w:tcMar>
          </w:tcPr>
          <w:p w14:paraId="2DEC251D" w14:textId="77777777" w:rsidR="00000000" w:rsidRPr="00896AE4" w:rsidRDefault="00896AE4">
            <w:pPr>
              <w:widowControl w:val="0"/>
              <w:autoSpaceDE w:val="0"/>
              <w:autoSpaceDN w:val="0"/>
              <w:adjustRightInd w:val="0"/>
              <w:spacing w:after="20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t>Terms of pen</w:t>
            </w:r>
            <w:r w:rsidRPr="00896AE4">
              <w:rPr>
                <w:rFonts w:ascii="Times New Roman" w:hAnsi="Times New Roman"/>
                <w:color w:val="000000"/>
                <w:sz w:val="20"/>
                <w:szCs w:val="20"/>
              </w:rPr>
              <w:t xml:space="preserve">al statute creating new offense </w:t>
            </w:r>
            <w:r w:rsidRPr="00896AE4">
              <w:rPr>
                <w:rFonts w:ascii="Times New Roman" w:hAnsi="Times New Roman"/>
                <w:color w:val="000000"/>
                <w:sz w:val="20"/>
                <w:szCs w:val="20"/>
              </w:rPr>
              <w:t>must be sufficiently explicit to inform those subject thereto what conduct will render them liable to penalty.</w:t>
            </w:r>
          </w:p>
          <w:bookmarkStart w:id="72" w:name="co_headnoteId_19321225150162020011706340"/>
          <w:bookmarkEnd w:id="72"/>
          <w:p w14:paraId="57589E34" w14:textId="77777777" w:rsidR="00000000" w:rsidRPr="00896AE4" w:rsidRDefault="00896AE4">
            <w:pPr>
              <w:widowControl w:val="0"/>
              <w:autoSpaceDE w:val="0"/>
              <w:autoSpaceDN w:val="0"/>
              <w:adjustRightInd w:val="0"/>
              <w:spacing w:before="200" w:after="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fldChar w:fldCharType="begin"/>
            </w:r>
            <w:r w:rsidRPr="00896AE4">
              <w:rPr>
                <w:rFonts w:ascii="Times New Roman" w:hAnsi="Times New Roman"/>
                <w:color w:val="000000"/>
                <w:sz w:val="20"/>
                <w:szCs w:val="20"/>
              </w:rPr>
              <w:instrText>HYPERLINK "http://www.westlaw.com</w:instrText>
            </w:r>
            <w:r w:rsidRPr="00896AE4">
              <w:rPr>
                <w:rFonts w:ascii="Times New Roman" w:hAnsi="Times New Roman"/>
                <w:color w:val="000000"/>
                <w:sz w:val="20"/>
                <w:szCs w:val="20"/>
              </w:rPr>
              <w:instrText xml:space="preserve">/Link/RelatedInformation/DocHeadnoteLink?docGuid=I82520ed09cc011d9a707f4371c9c34f0&amp;headnoteId=193212251501620200117063401&amp;originationContext=document&amp;vr=3.0&amp;rs=cblt1.0&amp;transitionType=CitingReferences&amp;contextData=(sc.Search)" </w:instrText>
            </w:r>
            <w:r w:rsidR="00C40BA5" w:rsidRPr="00896AE4">
              <w:rPr>
                <w:rFonts w:ascii="Times New Roman" w:hAnsi="Times New Roman"/>
                <w:color w:val="000000"/>
                <w:sz w:val="20"/>
                <w:szCs w:val="20"/>
              </w:rPr>
            </w:r>
            <w:r w:rsidRPr="00896AE4">
              <w:rPr>
                <w:rFonts w:ascii="Times New Roman" w:hAnsi="Times New Roman"/>
                <w:color w:val="000000"/>
                <w:sz w:val="20"/>
                <w:szCs w:val="20"/>
              </w:rPr>
              <w:fldChar w:fldCharType="separate"/>
            </w:r>
            <w:r w:rsidRPr="00896AE4">
              <w:rPr>
                <w:rFonts w:ascii="Times New Roman" w:hAnsi="Times New Roman"/>
                <w:color w:val="0000FF"/>
                <w:sz w:val="20"/>
                <w:szCs w:val="20"/>
              </w:rPr>
              <w:t>31 Cases that cite this headnot</w:t>
            </w:r>
            <w:r w:rsidRPr="00896AE4">
              <w:rPr>
                <w:rFonts w:ascii="Times New Roman" w:hAnsi="Times New Roman"/>
                <w:color w:val="0000FF"/>
                <w:sz w:val="20"/>
                <w:szCs w:val="20"/>
              </w:rPr>
              <w:t>e</w:t>
            </w:r>
            <w:r w:rsidRPr="00896AE4">
              <w:rPr>
                <w:rFonts w:ascii="Times New Roman" w:hAnsi="Times New Roman"/>
                <w:color w:val="000000"/>
                <w:sz w:val="20"/>
                <w:szCs w:val="20"/>
              </w:rPr>
              <w:fldChar w:fldCharType="end"/>
            </w:r>
          </w:p>
          <w:p w14:paraId="7DBA1478" w14:textId="77777777" w:rsidR="00000000" w:rsidRPr="00896AE4" w:rsidRDefault="00896AE4">
            <w:pPr>
              <w:widowControl w:val="0"/>
              <w:autoSpaceDE w:val="0"/>
              <w:autoSpaceDN w:val="0"/>
              <w:adjustRightInd w:val="0"/>
              <w:spacing w:after="200" w:line="240" w:lineRule="auto"/>
              <w:ind w:left="30" w:right="30"/>
              <w:rPr>
                <w:rFonts w:ascii="Times New Roman" w:hAnsi="Times New Roman"/>
                <w:color w:val="000000"/>
                <w:sz w:val="20"/>
                <w:szCs w:val="20"/>
              </w:rPr>
            </w:pPr>
          </w:p>
        </w:tc>
      </w:tr>
    </w:tbl>
    <w:p w14:paraId="0F19CE7D"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p>
    <w:p w14:paraId="6C13439C"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73" w:name="co_anchor_1932122515501_1"/>
      <w:bookmarkEnd w:id="73"/>
    </w:p>
    <w:tbl>
      <w:tblPr>
        <w:tblW w:w="0" w:type="auto"/>
        <w:tblInd w:w="30" w:type="dxa"/>
        <w:tblLayout w:type="fixed"/>
        <w:tblCellMar>
          <w:left w:w="0" w:type="dxa"/>
          <w:right w:w="0" w:type="dxa"/>
        </w:tblCellMar>
        <w:tblLook w:val="0000" w:firstRow="0" w:lastRow="0" w:firstColumn="0" w:lastColumn="0" w:noHBand="0" w:noVBand="0"/>
      </w:tblPr>
      <w:tblGrid>
        <w:gridCol w:w="600"/>
        <w:gridCol w:w="4040"/>
      </w:tblGrid>
      <w:tr w:rsidR="00000000" w:rsidRPr="00896AE4" w14:paraId="3B954DF3"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p w14:paraId="3A15AC56"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bookmarkStart w:id="74" w:name="co_anchor_1932122515_1"/>
            <w:bookmarkEnd w:id="74"/>
            <w:r w:rsidRPr="00896AE4">
              <w:rPr>
                <w:rFonts w:ascii="Times New Roman" w:hAnsi="Times New Roman"/>
                <w:b/>
                <w:bCs/>
                <w:color w:val="000000"/>
                <w:sz w:val="20"/>
                <w:szCs w:val="20"/>
              </w:rPr>
              <w:t>[17]</w:t>
            </w:r>
          </w:p>
          <w:p w14:paraId="6C813209"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p>
        </w:tc>
        <w:tc>
          <w:tcPr>
            <w:tcW w:w="4040" w:type="dxa"/>
            <w:tcBorders>
              <w:top w:val="nil"/>
              <w:left w:val="nil"/>
              <w:bottom w:val="nil"/>
              <w:right w:val="nil"/>
            </w:tcBorders>
            <w:tcMar>
              <w:left w:w="30" w:type="dxa"/>
              <w:right w:w="30" w:type="dxa"/>
            </w:tcMar>
          </w:tcPr>
          <w:p w14:paraId="33697875"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hyperlink r:id="rId64" w:history="1">
              <w:r w:rsidRPr="00896AE4">
                <w:rPr>
                  <w:rFonts w:ascii="Times New Roman" w:hAnsi="Times New Roman"/>
                  <w:b/>
                  <w:bCs/>
                  <w:color w:val="0000FF"/>
                  <w:sz w:val="20"/>
                  <w:szCs w:val="20"/>
                </w:rPr>
                <w:t>Mines and Minerals</w:t>
              </w:r>
            </w:hyperlink>
            <w:r w:rsidRPr="00896AE4">
              <w:rPr>
                <w:rFonts w:ascii="Times New Roman" w:hAnsi="Times New Roman"/>
                <w:color w:val="000000"/>
                <w:sz w:val="20"/>
                <w:szCs w:val="20"/>
              </w:rPr>
              <w:pict w14:anchorId="46C20166">
                <v:shape id="_x0000_i1044" type="#_x0000_t75" style="width:10.5pt;height:6pt">
                  <v:imagedata r:id="rId13" o:title=""/>
                </v:shape>
              </w:pict>
            </w:r>
            <w:hyperlink r:id="rId65" w:history="1">
              <w:r w:rsidRPr="00896AE4">
                <w:rPr>
                  <w:rFonts w:ascii="Times New Roman" w:hAnsi="Times New Roman"/>
                  <w:color w:val="0000FF"/>
                  <w:sz w:val="20"/>
                  <w:szCs w:val="20"/>
                </w:rPr>
                <w:t>Statutory provisions in general</w:t>
              </w:r>
            </w:hyperlink>
          </w:p>
          <w:p w14:paraId="703EFDA3"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r>
      <w:tr w:rsidR="00000000" w:rsidRPr="00896AE4" w14:paraId="31EBB060"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p w14:paraId="69DC474E"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c>
          <w:tcPr>
            <w:tcW w:w="4040" w:type="dxa"/>
            <w:tcBorders>
              <w:top w:val="nil"/>
              <w:left w:val="nil"/>
              <w:bottom w:val="nil"/>
              <w:right w:val="nil"/>
            </w:tcBorders>
            <w:tcMar>
              <w:left w:w="30" w:type="dxa"/>
              <w:right w:w="30" w:type="dxa"/>
            </w:tcMar>
          </w:tcPr>
          <w:p w14:paraId="42A867FB" w14:textId="77777777" w:rsidR="00000000" w:rsidRPr="00896AE4" w:rsidRDefault="00896AE4">
            <w:pPr>
              <w:widowControl w:val="0"/>
              <w:autoSpaceDE w:val="0"/>
              <w:autoSpaceDN w:val="0"/>
              <w:adjustRightInd w:val="0"/>
              <w:spacing w:after="20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t xml:space="preserve">Statutory provisions authorizing Corporation Commission to make rules for prevention of waste in production of petroleum and to prorate taking thereof from common sources of supply held not invalid. </w:t>
            </w:r>
            <w:hyperlink r:id="rId66" w:history="1">
              <w:r w:rsidRPr="00896AE4">
                <w:rPr>
                  <w:rFonts w:ascii="Times New Roman" w:hAnsi="Times New Roman"/>
                  <w:color w:val="0000FF"/>
                  <w:sz w:val="20"/>
                  <w:szCs w:val="20"/>
                </w:rPr>
                <w:t>52 Okl.St.Ann. §§ 271</w:t>
              </w:r>
            </w:hyperlink>
            <w:r w:rsidRPr="00896AE4">
              <w:rPr>
                <w:rFonts w:ascii="Times New Roman" w:hAnsi="Times New Roman"/>
                <w:color w:val="000000"/>
                <w:sz w:val="20"/>
                <w:szCs w:val="20"/>
              </w:rPr>
              <w:t xml:space="preserve">, </w:t>
            </w:r>
            <w:hyperlink r:id="rId67" w:history="1">
              <w:r w:rsidRPr="00896AE4">
                <w:rPr>
                  <w:rFonts w:ascii="Times New Roman" w:hAnsi="Times New Roman"/>
                  <w:color w:val="0000FF"/>
                  <w:sz w:val="20"/>
                  <w:szCs w:val="20"/>
                </w:rPr>
                <w:t>273</w:t>
              </w:r>
            </w:hyperlink>
            <w:r w:rsidRPr="00896AE4">
              <w:rPr>
                <w:rFonts w:ascii="Times New Roman" w:hAnsi="Times New Roman"/>
                <w:color w:val="000000"/>
                <w:sz w:val="20"/>
                <w:szCs w:val="20"/>
              </w:rPr>
              <w:t xml:space="preserve">, </w:t>
            </w:r>
            <w:hyperlink r:id="rId68" w:history="1">
              <w:r w:rsidRPr="00896AE4">
                <w:rPr>
                  <w:rFonts w:ascii="Times New Roman" w:hAnsi="Times New Roman"/>
                  <w:color w:val="0000FF"/>
                  <w:sz w:val="20"/>
                  <w:szCs w:val="20"/>
                </w:rPr>
                <w:t>274</w:t>
              </w:r>
            </w:hyperlink>
            <w:r w:rsidRPr="00896AE4">
              <w:rPr>
                <w:rFonts w:ascii="Times New Roman" w:hAnsi="Times New Roman"/>
                <w:color w:val="000000"/>
                <w:sz w:val="20"/>
                <w:szCs w:val="20"/>
              </w:rPr>
              <w:t>.</w:t>
            </w:r>
          </w:p>
          <w:p w14:paraId="51A9F08F" w14:textId="77777777" w:rsidR="00000000" w:rsidRPr="00896AE4" w:rsidRDefault="00896AE4">
            <w:pPr>
              <w:widowControl w:val="0"/>
              <w:autoSpaceDE w:val="0"/>
              <w:autoSpaceDN w:val="0"/>
              <w:adjustRightInd w:val="0"/>
              <w:spacing w:after="0" w:line="240" w:lineRule="auto"/>
              <w:ind w:left="30" w:right="30"/>
              <w:jc w:val="both"/>
              <w:rPr>
                <w:rFonts w:ascii="Times New Roman" w:hAnsi="Times New Roman"/>
                <w:color w:val="000000"/>
                <w:sz w:val="20"/>
                <w:szCs w:val="20"/>
              </w:rPr>
            </w:pPr>
            <w:bookmarkStart w:id="75" w:name="co_headnoteId_19321225155012020011706340"/>
            <w:bookmarkEnd w:id="75"/>
          </w:p>
          <w:p w14:paraId="7F7E78C2" w14:textId="77777777" w:rsidR="00000000" w:rsidRPr="00896AE4" w:rsidRDefault="00896AE4">
            <w:pPr>
              <w:widowControl w:val="0"/>
              <w:autoSpaceDE w:val="0"/>
              <w:autoSpaceDN w:val="0"/>
              <w:adjustRightInd w:val="0"/>
              <w:spacing w:after="200" w:line="240" w:lineRule="auto"/>
              <w:ind w:left="30" w:right="30"/>
              <w:rPr>
                <w:rFonts w:ascii="Times New Roman" w:hAnsi="Times New Roman"/>
                <w:color w:val="000000"/>
                <w:sz w:val="20"/>
                <w:szCs w:val="20"/>
              </w:rPr>
            </w:pPr>
          </w:p>
        </w:tc>
      </w:tr>
    </w:tbl>
    <w:p w14:paraId="39DA1D21"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p>
    <w:p w14:paraId="7F9C550C"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76" w:name="co_anchor_1932122515502_1"/>
      <w:bookmarkEnd w:id="76"/>
    </w:p>
    <w:tbl>
      <w:tblPr>
        <w:tblW w:w="0" w:type="auto"/>
        <w:tblInd w:w="30" w:type="dxa"/>
        <w:tblLayout w:type="fixed"/>
        <w:tblCellMar>
          <w:left w:w="0" w:type="dxa"/>
          <w:right w:w="0" w:type="dxa"/>
        </w:tblCellMar>
        <w:tblLook w:val="0000" w:firstRow="0" w:lastRow="0" w:firstColumn="0" w:lastColumn="0" w:noHBand="0" w:noVBand="0"/>
      </w:tblPr>
      <w:tblGrid>
        <w:gridCol w:w="600"/>
        <w:gridCol w:w="4040"/>
      </w:tblGrid>
      <w:tr w:rsidR="00000000" w:rsidRPr="00896AE4" w14:paraId="27F94632"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p w14:paraId="2B77BA4D"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bookmarkStart w:id="77" w:name="co_anchor_1932122515_0_1"/>
            <w:bookmarkEnd w:id="77"/>
            <w:r w:rsidRPr="00896AE4">
              <w:rPr>
                <w:rFonts w:ascii="Times New Roman" w:hAnsi="Times New Roman"/>
                <w:b/>
                <w:bCs/>
                <w:color w:val="000000"/>
                <w:sz w:val="20"/>
                <w:szCs w:val="20"/>
              </w:rPr>
              <w:t>[18]</w:t>
            </w:r>
          </w:p>
          <w:p w14:paraId="2B32E913"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p>
        </w:tc>
        <w:tc>
          <w:tcPr>
            <w:tcW w:w="4040" w:type="dxa"/>
            <w:tcBorders>
              <w:top w:val="nil"/>
              <w:left w:val="nil"/>
              <w:bottom w:val="nil"/>
              <w:right w:val="nil"/>
            </w:tcBorders>
            <w:tcMar>
              <w:left w:w="30" w:type="dxa"/>
              <w:right w:w="30" w:type="dxa"/>
            </w:tcMar>
          </w:tcPr>
          <w:p w14:paraId="5B245438"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hyperlink r:id="rId69" w:history="1">
              <w:r w:rsidRPr="00896AE4">
                <w:rPr>
                  <w:rFonts w:ascii="Times New Roman" w:hAnsi="Times New Roman"/>
                  <w:b/>
                  <w:bCs/>
                  <w:color w:val="0000FF"/>
                  <w:sz w:val="20"/>
                  <w:szCs w:val="20"/>
                </w:rPr>
                <w:t>Mines and Minerals</w:t>
              </w:r>
            </w:hyperlink>
            <w:r w:rsidRPr="00896AE4">
              <w:rPr>
                <w:rFonts w:ascii="Times New Roman" w:hAnsi="Times New Roman"/>
                <w:color w:val="000000"/>
                <w:sz w:val="20"/>
                <w:szCs w:val="20"/>
              </w:rPr>
              <w:pict w14:anchorId="1BBC8CA2">
                <v:shape id="_x0000_i1045" type="#_x0000_t75" style="width:10.5pt;height:6pt">
                  <v:imagedata r:id="rId13" o:title=""/>
                </v:shape>
              </w:pict>
            </w:r>
            <w:hyperlink r:id="rId70" w:history="1">
              <w:r w:rsidRPr="00896AE4">
                <w:rPr>
                  <w:rFonts w:ascii="Times New Roman" w:hAnsi="Times New Roman"/>
                  <w:color w:val="0000FF"/>
                  <w:sz w:val="20"/>
                  <w:szCs w:val="20"/>
                </w:rPr>
                <w:t>Statutory provisions in general</w:t>
              </w:r>
            </w:hyperlink>
          </w:p>
          <w:p w14:paraId="1BBFCBC7"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r>
      <w:tr w:rsidR="00000000" w:rsidRPr="00896AE4" w14:paraId="101E429C"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p w14:paraId="2106A8C9"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c>
          <w:tcPr>
            <w:tcW w:w="4040" w:type="dxa"/>
            <w:tcBorders>
              <w:top w:val="nil"/>
              <w:left w:val="nil"/>
              <w:bottom w:val="nil"/>
              <w:right w:val="nil"/>
            </w:tcBorders>
            <w:tcMar>
              <w:left w:w="30" w:type="dxa"/>
              <w:right w:w="30" w:type="dxa"/>
            </w:tcMar>
          </w:tcPr>
          <w:p w14:paraId="1785D87A" w14:textId="77777777" w:rsidR="00000000" w:rsidRPr="00896AE4" w:rsidRDefault="00896AE4">
            <w:pPr>
              <w:widowControl w:val="0"/>
              <w:autoSpaceDE w:val="0"/>
              <w:autoSpaceDN w:val="0"/>
              <w:adjustRightInd w:val="0"/>
              <w:spacing w:after="20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t>U.S.Tex. 1939. The Connally Hot Oil Act should not be so construed that it would lose some of its sanctions if another interpretation will make it effective. Connally Hot Oi</w:t>
            </w:r>
            <w:r w:rsidRPr="00896AE4">
              <w:rPr>
                <w:rFonts w:ascii="Times New Roman" w:hAnsi="Times New Roman"/>
                <w:color w:val="000000"/>
                <w:sz w:val="20"/>
                <w:szCs w:val="20"/>
              </w:rPr>
              <w:t xml:space="preserve">l Act, as amended, </w:t>
            </w:r>
            <w:hyperlink r:id="rId71" w:history="1">
              <w:r w:rsidRPr="00896AE4">
                <w:rPr>
                  <w:rFonts w:ascii="Times New Roman" w:hAnsi="Times New Roman"/>
                  <w:color w:val="0000FF"/>
                  <w:sz w:val="20"/>
                  <w:szCs w:val="20"/>
                </w:rPr>
                <w:t>15 U.S.C.A. § 715</w:t>
              </w:r>
            </w:hyperlink>
            <w:r w:rsidRPr="00896AE4">
              <w:rPr>
                <w:rFonts w:ascii="Times New Roman" w:hAnsi="Times New Roman"/>
                <w:color w:val="000000"/>
                <w:sz w:val="20"/>
                <w:szCs w:val="20"/>
              </w:rPr>
              <w:t xml:space="preserve"> et seq.</w:t>
            </w:r>
          </w:p>
          <w:bookmarkStart w:id="78" w:name="co_headnoteId_19321225155022020011706340"/>
          <w:bookmarkEnd w:id="78"/>
          <w:p w14:paraId="04CE6F4E" w14:textId="77777777" w:rsidR="00000000" w:rsidRPr="00896AE4" w:rsidRDefault="00896AE4">
            <w:pPr>
              <w:widowControl w:val="0"/>
              <w:autoSpaceDE w:val="0"/>
              <w:autoSpaceDN w:val="0"/>
              <w:adjustRightInd w:val="0"/>
              <w:spacing w:before="200" w:after="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fldChar w:fldCharType="begin"/>
            </w:r>
            <w:r w:rsidRPr="00896AE4">
              <w:rPr>
                <w:rFonts w:ascii="Times New Roman" w:hAnsi="Times New Roman"/>
                <w:color w:val="000000"/>
                <w:sz w:val="20"/>
                <w:szCs w:val="20"/>
              </w:rPr>
              <w:instrText>HYPERLINK "http://www.westlaw.com/Link/RelatedInformation/DocHeadnoteLink?docGuid=I82520ed09cc011d9a707f4371c9c34f0&amp;headnoteId</w:instrText>
            </w:r>
            <w:r w:rsidRPr="00896AE4">
              <w:rPr>
                <w:rFonts w:ascii="Times New Roman" w:hAnsi="Times New Roman"/>
                <w:color w:val="000000"/>
                <w:sz w:val="20"/>
                <w:szCs w:val="20"/>
              </w:rPr>
              <w:instrText xml:space="preserve">=193212251550220200117063401&amp;originationContext=document&amp;vr=3.0&amp;rs=cblt1.0&amp;transitionType=CitingReferences&amp;contextData=(sc.Search)" </w:instrText>
            </w:r>
            <w:r w:rsidR="00C40BA5" w:rsidRPr="00896AE4">
              <w:rPr>
                <w:rFonts w:ascii="Times New Roman" w:hAnsi="Times New Roman"/>
                <w:color w:val="000000"/>
                <w:sz w:val="20"/>
                <w:szCs w:val="20"/>
              </w:rPr>
            </w:r>
            <w:r w:rsidRPr="00896AE4">
              <w:rPr>
                <w:rFonts w:ascii="Times New Roman" w:hAnsi="Times New Roman"/>
                <w:color w:val="000000"/>
                <w:sz w:val="20"/>
                <w:szCs w:val="20"/>
              </w:rPr>
              <w:fldChar w:fldCharType="separate"/>
            </w:r>
            <w:r w:rsidRPr="00896AE4">
              <w:rPr>
                <w:rFonts w:ascii="Times New Roman" w:hAnsi="Times New Roman"/>
                <w:color w:val="0000FF"/>
                <w:sz w:val="20"/>
                <w:szCs w:val="20"/>
              </w:rPr>
              <w:t>1 Cases that cite this headnote</w:t>
            </w:r>
            <w:r w:rsidRPr="00896AE4">
              <w:rPr>
                <w:rFonts w:ascii="Times New Roman" w:hAnsi="Times New Roman"/>
                <w:color w:val="000000"/>
                <w:sz w:val="20"/>
                <w:szCs w:val="20"/>
              </w:rPr>
              <w:fldChar w:fldCharType="end"/>
            </w:r>
          </w:p>
          <w:p w14:paraId="7E90B28A" w14:textId="77777777" w:rsidR="00000000" w:rsidRPr="00896AE4" w:rsidRDefault="00896AE4">
            <w:pPr>
              <w:widowControl w:val="0"/>
              <w:autoSpaceDE w:val="0"/>
              <w:autoSpaceDN w:val="0"/>
              <w:adjustRightInd w:val="0"/>
              <w:spacing w:after="200" w:line="240" w:lineRule="auto"/>
              <w:ind w:left="30" w:right="30"/>
              <w:rPr>
                <w:rFonts w:ascii="Times New Roman" w:hAnsi="Times New Roman"/>
                <w:color w:val="000000"/>
                <w:sz w:val="20"/>
                <w:szCs w:val="20"/>
              </w:rPr>
            </w:pPr>
          </w:p>
        </w:tc>
      </w:tr>
    </w:tbl>
    <w:p w14:paraId="73EE127E"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p>
    <w:p w14:paraId="0F4851FB"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79" w:name="co_anchor_1932122515503_1"/>
      <w:bookmarkEnd w:id="79"/>
    </w:p>
    <w:tbl>
      <w:tblPr>
        <w:tblW w:w="0" w:type="auto"/>
        <w:tblInd w:w="30" w:type="dxa"/>
        <w:tblLayout w:type="fixed"/>
        <w:tblCellMar>
          <w:left w:w="0" w:type="dxa"/>
          <w:right w:w="0" w:type="dxa"/>
        </w:tblCellMar>
        <w:tblLook w:val="0000" w:firstRow="0" w:lastRow="0" w:firstColumn="0" w:lastColumn="0" w:noHBand="0" w:noVBand="0"/>
      </w:tblPr>
      <w:tblGrid>
        <w:gridCol w:w="600"/>
        <w:gridCol w:w="4040"/>
      </w:tblGrid>
      <w:tr w:rsidR="00000000" w:rsidRPr="00896AE4" w14:paraId="7D623E0F"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p w14:paraId="647DB45E"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bookmarkStart w:id="80" w:name="co_anchor_1932122515_1_1"/>
            <w:bookmarkEnd w:id="80"/>
            <w:r w:rsidRPr="00896AE4">
              <w:rPr>
                <w:rFonts w:ascii="Times New Roman" w:hAnsi="Times New Roman"/>
                <w:b/>
                <w:bCs/>
                <w:color w:val="000000"/>
                <w:sz w:val="20"/>
                <w:szCs w:val="20"/>
              </w:rPr>
              <w:t>[19]</w:t>
            </w:r>
          </w:p>
          <w:p w14:paraId="457D5E1A" w14:textId="77777777" w:rsidR="00000000" w:rsidRPr="00896AE4" w:rsidRDefault="00896AE4">
            <w:pPr>
              <w:widowControl w:val="0"/>
              <w:autoSpaceDE w:val="0"/>
              <w:autoSpaceDN w:val="0"/>
              <w:adjustRightInd w:val="0"/>
              <w:spacing w:after="0" w:line="240" w:lineRule="auto"/>
              <w:ind w:left="30" w:right="30"/>
              <w:rPr>
                <w:rFonts w:ascii="Times New Roman" w:hAnsi="Times New Roman"/>
                <w:b/>
                <w:bCs/>
                <w:color w:val="000000"/>
                <w:sz w:val="20"/>
                <w:szCs w:val="20"/>
              </w:rPr>
            </w:pPr>
          </w:p>
        </w:tc>
        <w:tc>
          <w:tcPr>
            <w:tcW w:w="4040" w:type="dxa"/>
            <w:tcBorders>
              <w:top w:val="nil"/>
              <w:left w:val="nil"/>
              <w:bottom w:val="nil"/>
              <w:right w:val="nil"/>
            </w:tcBorders>
            <w:tcMar>
              <w:left w:w="30" w:type="dxa"/>
              <w:right w:w="30" w:type="dxa"/>
            </w:tcMar>
          </w:tcPr>
          <w:p w14:paraId="758FF11F"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hyperlink r:id="rId72" w:history="1">
              <w:r w:rsidRPr="00896AE4">
                <w:rPr>
                  <w:rFonts w:ascii="Times New Roman" w:hAnsi="Times New Roman"/>
                  <w:b/>
                  <w:bCs/>
                  <w:color w:val="0000FF"/>
                  <w:sz w:val="20"/>
                  <w:szCs w:val="20"/>
                </w:rPr>
                <w:t>Constitutional Law</w:t>
              </w:r>
            </w:hyperlink>
            <w:r w:rsidRPr="00896AE4">
              <w:rPr>
                <w:rFonts w:ascii="Times New Roman" w:hAnsi="Times New Roman"/>
                <w:color w:val="000000"/>
                <w:sz w:val="20"/>
                <w:szCs w:val="20"/>
              </w:rPr>
              <w:pict w14:anchorId="2B6BEFE1">
                <v:shape id="_x0000_i1046" type="#_x0000_t75" style="width:10.5pt;height:6pt">
                  <v:imagedata r:id="rId13" o:title=""/>
                </v:shape>
              </w:pict>
            </w:r>
            <w:hyperlink r:id="rId73" w:history="1">
              <w:r w:rsidRPr="00896AE4">
                <w:rPr>
                  <w:rFonts w:ascii="Times New Roman" w:hAnsi="Times New Roman"/>
                  <w:color w:val="0000FF"/>
                  <w:sz w:val="20"/>
                  <w:szCs w:val="20"/>
                </w:rPr>
                <w:t>Mining and excavation;  oil and gas</w:t>
              </w:r>
            </w:hyperlink>
          </w:p>
          <w:p w14:paraId="2E221EC2"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hyperlink r:id="rId74" w:history="1">
              <w:r w:rsidRPr="00896AE4">
                <w:rPr>
                  <w:rFonts w:ascii="Times New Roman" w:hAnsi="Times New Roman"/>
                  <w:b/>
                  <w:bCs/>
                  <w:color w:val="0000FF"/>
                  <w:sz w:val="20"/>
                  <w:szCs w:val="20"/>
                </w:rPr>
                <w:t>Mines and Minerals</w:t>
              </w:r>
            </w:hyperlink>
            <w:r w:rsidRPr="00896AE4">
              <w:rPr>
                <w:rFonts w:ascii="Times New Roman" w:hAnsi="Times New Roman"/>
                <w:color w:val="000000"/>
                <w:sz w:val="20"/>
                <w:szCs w:val="20"/>
              </w:rPr>
              <w:pict w14:anchorId="66DE5A16">
                <v:shape id="_x0000_i1047" type="#_x0000_t75" style="width:10.5pt;height:6pt">
                  <v:imagedata r:id="rId13" o:title=""/>
                </v:shape>
              </w:pict>
            </w:r>
            <w:hyperlink r:id="rId75" w:history="1">
              <w:r w:rsidRPr="00896AE4">
                <w:rPr>
                  <w:rFonts w:ascii="Times New Roman" w:hAnsi="Times New Roman"/>
                  <w:color w:val="0000FF"/>
                  <w:sz w:val="20"/>
                  <w:szCs w:val="20"/>
                </w:rPr>
                <w:t>Oil and gas</w:t>
              </w:r>
            </w:hyperlink>
          </w:p>
          <w:p w14:paraId="6E02D2EA"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r>
      <w:tr w:rsidR="00000000" w:rsidRPr="00896AE4" w14:paraId="6E4A2212" w14:textId="77777777">
        <w:tblPrEx>
          <w:tblCellMar>
            <w:top w:w="0" w:type="dxa"/>
            <w:left w:w="0" w:type="dxa"/>
            <w:bottom w:w="0" w:type="dxa"/>
            <w:right w:w="0" w:type="dxa"/>
          </w:tblCellMar>
        </w:tblPrEx>
        <w:tc>
          <w:tcPr>
            <w:tcW w:w="600" w:type="dxa"/>
            <w:tcBorders>
              <w:top w:val="nil"/>
              <w:left w:val="nil"/>
              <w:bottom w:val="nil"/>
              <w:right w:val="nil"/>
            </w:tcBorders>
            <w:tcMar>
              <w:left w:w="30" w:type="dxa"/>
              <w:right w:w="30" w:type="dxa"/>
            </w:tcMar>
          </w:tcPr>
          <w:p w14:paraId="3CF3CABF" w14:textId="77777777" w:rsidR="00000000" w:rsidRPr="00896AE4" w:rsidRDefault="00896AE4">
            <w:pPr>
              <w:widowControl w:val="0"/>
              <w:autoSpaceDE w:val="0"/>
              <w:autoSpaceDN w:val="0"/>
              <w:adjustRightInd w:val="0"/>
              <w:spacing w:after="0" w:line="240" w:lineRule="auto"/>
              <w:ind w:left="30" w:right="30"/>
              <w:rPr>
                <w:rFonts w:ascii="Times New Roman" w:hAnsi="Times New Roman"/>
                <w:color w:val="000000"/>
                <w:sz w:val="20"/>
                <w:szCs w:val="20"/>
              </w:rPr>
            </w:pPr>
          </w:p>
        </w:tc>
        <w:tc>
          <w:tcPr>
            <w:tcW w:w="4040" w:type="dxa"/>
            <w:tcBorders>
              <w:top w:val="nil"/>
              <w:left w:val="nil"/>
              <w:bottom w:val="nil"/>
              <w:right w:val="nil"/>
            </w:tcBorders>
            <w:tcMar>
              <w:left w:w="30" w:type="dxa"/>
              <w:right w:w="30" w:type="dxa"/>
            </w:tcMar>
          </w:tcPr>
          <w:p w14:paraId="6FB5E09E" w14:textId="77777777" w:rsidR="00000000" w:rsidRPr="00896AE4" w:rsidRDefault="00896AE4">
            <w:pPr>
              <w:widowControl w:val="0"/>
              <w:autoSpaceDE w:val="0"/>
              <w:autoSpaceDN w:val="0"/>
              <w:adjustRightInd w:val="0"/>
              <w:spacing w:after="20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t xml:space="preserve">Statutory provisions authorizing Corporation Commission to make rules for prevention of waste in production of petroleum and to prorate taking thereof from common sources of supply held not repugnant </w:t>
            </w:r>
            <w:r w:rsidRPr="00896AE4">
              <w:rPr>
                <w:rFonts w:ascii="Times New Roman" w:hAnsi="Times New Roman"/>
                <w:color w:val="000000"/>
                <w:sz w:val="20"/>
                <w:szCs w:val="20"/>
              </w:rPr>
              <w:t xml:space="preserve">to equal protection clause. Comp.St.Okl.1921, </w:t>
            </w:r>
            <w:r w:rsidRPr="00896AE4">
              <w:rPr>
                <w:rFonts w:ascii="Times New Roman" w:hAnsi="Times New Roman"/>
                <w:color w:val="000000"/>
                <w:sz w:val="20"/>
                <w:szCs w:val="20"/>
              </w:rPr>
              <w:t>§§</w:t>
            </w:r>
            <w:r w:rsidRPr="00896AE4">
              <w:rPr>
                <w:rFonts w:ascii="Times New Roman" w:hAnsi="Times New Roman"/>
                <w:color w:val="000000"/>
                <w:sz w:val="20"/>
                <w:szCs w:val="20"/>
              </w:rPr>
              <w:t xml:space="preserve"> 7954, 7956, 7957, </w:t>
            </w:r>
            <w:hyperlink r:id="rId76" w:history="1">
              <w:r w:rsidRPr="00896AE4">
                <w:rPr>
                  <w:rFonts w:ascii="Times New Roman" w:hAnsi="Times New Roman"/>
                  <w:color w:val="0000FF"/>
                  <w:sz w:val="20"/>
                  <w:szCs w:val="20"/>
                </w:rPr>
                <w:t>52 Okl.St.Ann. §§ 271</w:t>
              </w:r>
            </w:hyperlink>
            <w:r w:rsidRPr="00896AE4">
              <w:rPr>
                <w:rFonts w:ascii="Times New Roman" w:hAnsi="Times New Roman"/>
                <w:color w:val="000000"/>
                <w:sz w:val="20"/>
                <w:szCs w:val="20"/>
              </w:rPr>
              <w:t xml:space="preserve">, </w:t>
            </w:r>
            <w:hyperlink r:id="rId77" w:history="1">
              <w:r w:rsidRPr="00896AE4">
                <w:rPr>
                  <w:rFonts w:ascii="Times New Roman" w:hAnsi="Times New Roman"/>
                  <w:color w:val="0000FF"/>
                  <w:sz w:val="20"/>
                  <w:szCs w:val="20"/>
                </w:rPr>
                <w:t>273</w:t>
              </w:r>
            </w:hyperlink>
            <w:r w:rsidRPr="00896AE4">
              <w:rPr>
                <w:rFonts w:ascii="Times New Roman" w:hAnsi="Times New Roman"/>
                <w:color w:val="000000"/>
                <w:sz w:val="20"/>
                <w:szCs w:val="20"/>
              </w:rPr>
              <w:t xml:space="preserve">, </w:t>
            </w:r>
            <w:hyperlink r:id="rId78" w:history="1">
              <w:r w:rsidRPr="00896AE4">
                <w:rPr>
                  <w:rFonts w:ascii="Times New Roman" w:hAnsi="Times New Roman"/>
                  <w:color w:val="0000FF"/>
                  <w:sz w:val="20"/>
                  <w:szCs w:val="20"/>
                </w:rPr>
                <w:t>274</w:t>
              </w:r>
            </w:hyperlink>
            <w:r w:rsidRPr="00896AE4">
              <w:rPr>
                <w:rFonts w:ascii="Times New Roman" w:hAnsi="Times New Roman"/>
                <w:color w:val="000000"/>
                <w:sz w:val="20"/>
                <w:szCs w:val="20"/>
              </w:rPr>
              <w:t xml:space="preserve">; </w:t>
            </w:r>
            <w:hyperlink r:id="rId79" w:history="1">
              <w:r w:rsidRPr="00896AE4">
                <w:rPr>
                  <w:rFonts w:ascii="Times New Roman" w:hAnsi="Times New Roman"/>
                  <w:color w:val="0000FF"/>
                  <w:sz w:val="20"/>
                  <w:szCs w:val="20"/>
                </w:rPr>
                <w:t>U.S.C.A.Const. Amend. 14</w:t>
              </w:r>
            </w:hyperlink>
            <w:r w:rsidRPr="00896AE4">
              <w:rPr>
                <w:rFonts w:ascii="Times New Roman" w:hAnsi="Times New Roman"/>
                <w:color w:val="000000"/>
                <w:sz w:val="20"/>
                <w:szCs w:val="20"/>
              </w:rPr>
              <w:t>.</w:t>
            </w:r>
          </w:p>
          <w:bookmarkStart w:id="81" w:name="co_headnoteId_19321225155032020011706340"/>
          <w:bookmarkEnd w:id="81"/>
          <w:p w14:paraId="2F77086F" w14:textId="77777777" w:rsidR="00000000" w:rsidRPr="00896AE4" w:rsidRDefault="00896AE4">
            <w:pPr>
              <w:widowControl w:val="0"/>
              <w:autoSpaceDE w:val="0"/>
              <w:autoSpaceDN w:val="0"/>
              <w:adjustRightInd w:val="0"/>
              <w:spacing w:before="200" w:after="0" w:line="240" w:lineRule="auto"/>
              <w:ind w:left="30" w:right="30"/>
              <w:jc w:val="both"/>
              <w:rPr>
                <w:rFonts w:ascii="Times New Roman" w:hAnsi="Times New Roman"/>
                <w:color w:val="000000"/>
                <w:sz w:val="20"/>
                <w:szCs w:val="20"/>
              </w:rPr>
            </w:pPr>
            <w:r w:rsidRPr="00896AE4">
              <w:rPr>
                <w:rFonts w:ascii="Times New Roman" w:hAnsi="Times New Roman"/>
                <w:color w:val="000000"/>
                <w:sz w:val="20"/>
                <w:szCs w:val="20"/>
              </w:rPr>
              <w:fldChar w:fldCharType="begin"/>
            </w:r>
            <w:r w:rsidRPr="00896AE4">
              <w:rPr>
                <w:rFonts w:ascii="Times New Roman" w:hAnsi="Times New Roman"/>
                <w:color w:val="000000"/>
                <w:sz w:val="20"/>
                <w:szCs w:val="20"/>
              </w:rPr>
              <w:instrText>HYPERLINK "http://www.westlaw.com/Link/RelatedInformation/DocHeadnoteLink?docGuid=I82520ed09cc011d9a707f4371c9c34f0&amp;headnoteId=193212251550320200117063401&amp;originationContext=document&amp;vr=3.0&amp;rs=cblt1.0&amp;transitionType=CitingReferences&amp;contextData=(sc.Search)</w:instrText>
            </w:r>
            <w:r w:rsidRPr="00896AE4">
              <w:rPr>
                <w:rFonts w:ascii="Times New Roman" w:hAnsi="Times New Roman"/>
                <w:color w:val="000000"/>
                <w:sz w:val="20"/>
                <w:szCs w:val="20"/>
              </w:rPr>
              <w:instrText xml:space="preserve">" </w:instrText>
            </w:r>
            <w:r w:rsidR="00C40BA5" w:rsidRPr="00896AE4">
              <w:rPr>
                <w:rFonts w:ascii="Times New Roman" w:hAnsi="Times New Roman"/>
                <w:color w:val="000000"/>
                <w:sz w:val="20"/>
                <w:szCs w:val="20"/>
              </w:rPr>
            </w:r>
            <w:r w:rsidRPr="00896AE4">
              <w:rPr>
                <w:rFonts w:ascii="Times New Roman" w:hAnsi="Times New Roman"/>
                <w:color w:val="000000"/>
                <w:sz w:val="20"/>
                <w:szCs w:val="20"/>
              </w:rPr>
              <w:fldChar w:fldCharType="separate"/>
            </w:r>
            <w:r w:rsidRPr="00896AE4">
              <w:rPr>
                <w:rFonts w:ascii="Times New Roman" w:hAnsi="Times New Roman"/>
                <w:color w:val="0000FF"/>
                <w:sz w:val="20"/>
                <w:szCs w:val="20"/>
              </w:rPr>
              <w:t>34 Cases that cite this headnote</w:t>
            </w:r>
            <w:r w:rsidRPr="00896AE4">
              <w:rPr>
                <w:rFonts w:ascii="Times New Roman" w:hAnsi="Times New Roman"/>
                <w:color w:val="000000"/>
                <w:sz w:val="20"/>
                <w:szCs w:val="20"/>
              </w:rPr>
              <w:fldChar w:fldCharType="end"/>
            </w:r>
          </w:p>
          <w:p w14:paraId="048B47B2" w14:textId="77777777" w:rsidR="00000000" w:rsidRPr="00896AE4" w:rsidRDefault="00896AE4">
            <w:pPr>
              <w:widowControl w:val="0"/>
              <w:autoSpaceDE w:val="0"/>
              <w:autoSpaceDN w:val="0"/>
              <w:adjustRightInd w:val="0"/>
              <w:spacing w:after="200" w:line="240" w:lineRule="auto"/>
              <w:ind w:left="30" w:right="30"/>
              <w:rPr>
                <w:rFonts w:ascii="Times New Roman" w:hAnsi="Times New Roman"/>
                <w:color w:val="000000"/>
                <w:sz w:val="20"/>
                <w:szCs w:val="20"/>
              </w:rPr>
            </w:pPr>
          </w:p>
        </w:tc>
      </w:tr>
    </w:tbl>
    <w:p w14:paraId="2D0A0566"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p>
    <w:p w14:paraId="747DF371" w14:textId="77777777" w:rsidR="00000000" w:rsidRDefault="00896AE4">
      <w:pPr>
        <w:widowControl w:val="0"/>
        <w:autoSpaceDE w:val="0"/>
        <w:autoSpaceDN w:val="0"/>
        <w:adjustRightInd w:val="0"/>
        <w:spacing w:after="0" w:line="240" w:lineRule="auto"/>
        <w:jc w:val="both"/>
        <w:rPr>
          <w:rFonts w:ascii="Times New Roman" w:hAnsi="Times New Roman"/>
          <w:color w:val="0000FF"/>
          <w:sz w:val="20"/>
          <w:szCs w:val="20"/>
        </w:rPr>
      </w:pPr>
      <w:bookmarkStart w:id="82" w:name="co_headnotesEnd_1"/>
      <w:bookmarkEnd w:id="82"/>
    </w:p>
    <w:p w14:paraId="1EF12AA4" w14:textId="77777777" w:rsidR="00000000" w:rsidRDefault="00896AE4">
      <w:pPr>
        <w:widowControl w:val="0"/>
        <w:autoSpaceDE w:val="0"/>
        <w:autoSpaceDN w:val="0"/>
        <w:adjustRightInd w:val="0"/>
        <w:spacing w:before="200" w:after="200" w:line="240" w:lineRule="auto"/>
        <w:jc w:val="both"/>
        <w:rPr>
          <w:rFonts w:ascii="Times New Roman" w:hAnsi="Times New Roman"/>
          <w:b/>
          <w:bCs/>
          <w:color w:val="212121"/>
          <w:sz w:val="20"/>
          <w:szCs w:val="20"/>
        </w:rPr>
      </w:pPr>
      <w:bookmarkStart w:id="83" w:name="co_attorneysAndLawFirms_1"/>
      <w:bookmarkEnd w:id="83"/>
      <w:r>
        <w:rPr>
          <w:rFonts w:ascii="Times New Roman" w:hAnsi="Times New Roman"/>
          <w:b/>
          <w:bCs/>
          <w:color w:val="212121"/>
          <w:sz w:val="20"/>
          <w:szCs w:val="20"/>
        </w:rPr>
        <w:t>Attorneys and Law Firms</w:t>
      </w:r>
    </w:p>
    <w:p w14:paraId="24FDA155"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84" w:name="co_pp_sp_708_560_1"/>
      <w:bookmarkEnd w:id="84"/>
      <w:r>
        <w:rPr>
          <w:rFonts w:ascii="Times New Roman" w:hAnsi="Times New Roman"/>
          <w:b/>
          <w:bCs/>
          <w:color w:val="000000"/>
          <w:sz w:val="20"/>
          <w:szCs w:val="20"/>
        </w:rPr>
        <w:t>**560</w:t>
      </w:r>
      <w:r>
        <w:rPr>
          <w:rFonts w:ascii="Times New Roman" w:hAnsi="Times New Roman"/>
          <w:color w:val="000000"/>
          <w:sz w:val="20"/>
          <w:szCs w:val="20"/>
        </w:rPr>
        <w:t xml:space="preserve"> </w:t>
      </w:r>
      <w:bookmarkStart w:id="85" w:name="co_pp_sp_780_213_1"/>
      <w:bookmarkEnd w:id="85"/>
      <w:r>
        <w:rPr>
          <w:rFonts w:ascii="Times New Roman" w:hAnsi="Times New Roman"/>
          <w:b/>
          <w:bCs/>
          <w:color w:val="000000"/>
          <w:sz w:val="20"/>
          <w:szCs w:val="20"/>
        </w:rPr>
        <w:t>*213</w:t>
      </w:r>
      <w:r>
        <w:rPr>
          <w:rFonts w:ascii="Times New Roman" w:hAnsi="Times New Roman"/>
          <w:color w:val="000000"/>
          <w:sz w:val="20"/>
          <w:szCs w:val="20"/>
        </w:rPr>
        <w:t xml:space="preserve"> Messrs. Harry O. Glasse</w:t>
      </w:r>
      <w:r>
        <w:rPr>
          <w:rFonts w:ascii="Times New Roman" w:hAnsi="Times New Roman"/>
          <w:color w:val="000000"/>
          <w:sz w:val="20"/>
          <w:szCs w:val="20"/>
        </w:rPr>
        <w:t>r, of Enid, Okl., James M. Beck, of Washington, D. C., and George S. Ramsey, of Tulsa, Okl., for Champlin Refining Co.</w:t>
      </w:r>
    </w:p>
    <w:p w14:paraId="312305DC"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bookmarkStart w:id="86" w:name="co_pp_sp_780_219_1"/>
      <w:bookmarkEnd w:id="86"/>
      <w:r>
        <w:rPr>
          <w:rFonts w:ascii="Times New Roman" w:hAnsi="Times New Roman"/>
          <w:b/>
          <w:bCs/>
          <w:color w:val="000000"/>
          <w:sz w:val="20"/>
          <w:szCs w:val="20"/>
        </w:rPr>
        <w:t>*219</w:t>
      </w:r>
      <w:r>
        <w:rPr>
          <w:rFonts w:ascii="Times New Roman" w:hAnsi="Times New Roman"/>
          <w:color w:val="000000"/>
          <w:sz w:val="20"/>
          <w:szCs w:val="20"/>
        </w:rPr>
        <w:t xml:space="preserve"> Messrs. J. Berry King and E. S. Ratliff, both of Oklahoma City, Okl., and W. P. Z. German of Tul</w:t>
      </w:r>
      <w:r>
        <w:rPr>
          <w:rFonts w:ascii="Times New Roman" w:hAnsi="Times New Roman"/>
          <w:color w:val="000000"/>
          <w:sz w:val="20"/>
          <w:szCs w:val="20"/>
        </w:rPr>
        <w:t>sa, Okl., and John H. Miley, of Oklahoma City, Okl., for Corporation Commission and others.</w:t>
      </w:r>
    </w:p>
    <w:p w14:paraId="27A48371"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bookmarkStart w:id="87" w:name="co_pp_sp_780_223_1"/>
      <w:bookmarkEnd w:id="87"/>
      <w:r>
        <w:rPr>
          <w:rFonts w:ascii="Times New Roman" w:hAnsi="Times New Roman"/>
          <w:b/>
          <w:bCs/>
          <w:color w:val="000000"/>
          <w:sz w:val="20"/>
          <w:szCs w:val="20"/>
        </w:rPr>
        <w:t>*223</w:t>
      </w:r>
      <w:r>
        <w:rPr>
          <w:rFonts w:ascii="Times New Roman" w:hAnsi="Times New Roman"/>
          <w:color w:val="000000"/>
          <w:sz w:val="20"/>
          <w:szCs w:val="20"/>
        </w:rPr>
        <w:t xml:space="preserve"> Messrs. Ciero Q. Murray, of Oklahoma City, Okl., Warwick M. Downing, of Denver, Colo., Kenner McConnell, of Columbus, Ohio, and Philip Kates, of Tulsa, Okl., amici curiae.</w:t>
      </w:r>
    </w:p>
    <w:p w14:paraId="6D535A91" w14:textId="77777777" w:rsidR="00000000" w:rsidRDefault="00896AE4">
      <w:pPr>
        <w:widowControl w:val="0"/>
        <w:autoSpaceDE w:val="0"/>
        <w:autoSpaceDN w:val="0"/>
        <w:adjustRightInd w:val="0"/>
        <w:spacing w:before="200" w:after="0" w:line="240" w:lineRule="auto"/>
        <w:jc w:val="both"/>
        <w:rPr>
          <w:rFonts w:ascii="Times New Roman" w:hAnsi="Times New Roman"/>
          <w:b/>
          <w:bCs/>
          <w:color w:val="212121"/>
          <w:sz w:val="20"/>
          <w:szCs w:val="20"/>
        </w:rPr>
      </w:pPr>
      <w:bookmarkStart w:id="88" w:name="co_opinion_1"/>
      <w:bookmarkEnd w:id="88"/>
      <w:r>
        <w:rPr>
          <w:rFonts w:ascii="Times New Roman" w:hAnsi="Times New Roman"/>
          <w:b/>
          <w:bCs/>
          <w:color w:val="212121"/>
          <w:sz w:val="20"/>
          <w:szCs w:val="20"/>
        </w:rPr>
        <w:t>Opinion</w:t>
      </w:r>
    </w:p>
    <w:p w14:paraId="31C668AF"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89" w:name="co_anchor_I4bc6b0198bcd11ea80afece799150"/>
      <w:bookmarkEnd w:id="89"/>
    </w:p>
    <w:p w14:paraId="23AACCBB" w14:textId="77777777" w:rsidR="00000000" w:rsidRDefault="00896AE4">
      <w:pPr>
        <w:widowControl w:val="0"/>
        <w:autoSpaceDE w:val="0"/>
        <w:autoSpaceDN w:val="0"/>
        <w:adjustRightInd w:val="0"/>
        <w:spacing w:before="200" w:after="200" w:line="240" w:lineRule="auto"/>
        <w:jc w:val="both"/>
        <w:rPr>
          <w:rFonts w:ascii="Times New Roman" w:hAnsi="Times New Roman"/>
          <w:color w:val="000000"/>
          <w:sz w:val="20"/>
          <w:szCs w:val="20"/>
        </w:rPr>
      </w:pPr>
      <w:r>
        <w:rPr>
          <w:rFonts w:ascii="Times New Roman" w:hAnsi="Times New Roman"/>
          <w:color w:val="000000"/>
          <w:sz w:val="20"/>
          <w:szCs w:val="20"/>
        </w:rPr>
        <w:t>Mr. Justice BUTLER, delivered the opinion of the court.</w:t>
      </w:r>
    </w:p>
    <w:p w14:paraId="6A7CDC86"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90" w:name="co_anchor_I4bc6b01b8bcd11ea80afece799150"/>
      <w:bookmarkEnd w:id="90"/>
    </w:p>
    <w:p w14:paraId="53250288"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The refining company by this suit seeks to enjoin the commission, Attorney General, and o</w:t>
      </w:r>
      <w:r>
        <w:rPr>
          <w:rFonts w:ascii="Times New Roman" w:hAnsi="Times New Roman"/>
          <w:color w:val="000000"/>
          <w:sz w:val="20"/>
          <w:szCs w:val="20"/>
        </w:rPr>
        <w:t>ther state officers from enforcing certain provisions of chapter 25 of the Laws of Oklahoma enacted February 11, 1915,</w:t>
      </w:r>
      <w:bookmarkStart w:id="91" w:name="co_fnRef_B00111932122515_ID0EMVAG_1"/>
      <w:bookmarkEnd w:id="91"/>
      <w:r>
        <w:rPr>
          <w:rFonts w:ascii="Times New Roman" w:hAnsi="Times New Roman"/>
          <w:color w:val="000000"/>
          <w:sz w:val="16"/>
          <w:szCs w:val="16"/>
        </w:rPr>
        <w:fldChar w:fldCharType="begin"/>
      </w:r>
      <w:r>
        <w:rPr>
          <w:rFonts w:ascii="Times New Roman" w:hAnsi="Times New Roman"/>
          <w:color w:val="000000"/>
          <w:sz w:val="16"/>
          <w:szCs w:val="16"/>
        </w:rPr>
        <w:instrText xml:space="preserve">HYPERLINK "#co_footnote_B00111932122515_1" </w:instrText>
      </w:r>
      <w:r w:rsidR="00C40BA5">
        <w:rPr>
          <w:rFonts w:ascii="Times New Roman" w:hAnsi="Times New Roman"/>
          <w:color w:val="000000"/>
          <w:sz w:val="16"/>
          <w:szCs w:val="16"/>
        </w:rPr>
      </w:r>
      <w:r>
        <w:rPr>
          <w:rFonts w:ascii="Times New Roman" w:hAnsi="Times New Roman"/>
          <w:color w:val="000000"/>
          <w:sz w:val="16"/>
          <w:szCs w:val="16"/>
        </w:rPr>
        <w:fldChar w:fldCharType="separate"/>
      </w:r>
      <w:r>
        <w:rPr>
          <w:rFonts w:ascii="Times New Roman" w:hAnsi="Times New Roman"/>
          <w:color w:val="0000FF"/>
          <w:sz w:val="16"/>
          <w:szCs w:val="16"/>
          <w:vertAlign w:val="superscript"/>
        </w:rPr>
        <w:t>1</w:t>
      </w:r>
      <w:r>
        <w:rPr>
          <w:rFonts w:ascii="Times New Roman" w:hAnsi="Times New Roman"/>
          <w:color w:val="000000"/>
          <w:sz w:val="16"/>
          <w:szCs w:val="16"/>
        </w:rPr>
        <w:fldChar w:fldCharType="end"/>
      </w:r>
      <w:r>
        <w:rPr>
          <w:rFonts w:ascii="Times New Roman" w:hAnsi="Times New Roman"/>
          <w:color w:val="000000"/>
          <w:sz w:val="20"/>
          <w:szCs w:val="20"/>
        </w:rPr>
        <w:t xml:space="preserve"> and </w:t>
      </w:r>
      <w:bookmarkStart w:id="92" w:name="co_pp_sp_708_561_1"/>
      <w:bookmarkEnd w:id="92"/>
      <w:r>
        <w:rPr>
          <w:rFonts w:ascii="Times New Roman" w:hAnsi="Times New Roman"/>
          <w:b/>
          <w:bCs/>
          <w:color w:val="000000"/>
          <w:sz w:val="20"/>
          <w:szCs w:val="20"/>
        </w:rPr>
        <w:t>**561</w:t>
      </w:r>
      <w:r>
        <w:rPr>
          <w:rFonts w:ascii="Times New Roman" w:hAnsi="Times New Roman"/>
          <w:color w:val="000000"/>
          <w:sz w:val="20"/>
          <w:szCs w:val="20"/>
        </w:rPr>
        <w:t xml:space="preserve"> certain orders of </w:t>
      </w:r>
      <w:bookmarkStart w:id="93" w:name="co_pp_sp_780_224_1"/>
      <w:bookmarkEnd w:id="93"/>
      <w:r>
        <w:rPr>
          <w:rFonts w:ascii="Times New Roman" w:hAnsi="Times New Roman"/>
          <w:b/>
          <w:bCs/>
          <w:color w:val="000000"/>
          <w:sz w:val="20"/>
          <w:szCs w:val="20"/>
        </w:rPr>
        <w:t>*224</w:t>
      </w:r>
      <w:r>
        <w:rPr>
          <w:rFonts w:ascii="Times New Roman" w:hAnsi="Times New Roman"/>
          <w:color w:val="000000"/>
          <w:sz w:val="20"/>
          <w:szCs w:val="20"/>
        </w:rPr>
        <w:t xml:space="preserve"> the commission, on the ground that they are repugnant to the due process and equal protection clauses of the Fourteenth Amendment and the commerce clause. The District Cou</w:t>
      </w:r>
      <w:r>
        <w:rPr>
          <w:rFonts w:ascii="Times New Roman" w:hAnsi="Times New Roman"/>
          <w:color w:val="000000"/>
          <w:sz w:val="20"/>
          <w:szCs w:val="20"/>
        </w:rPr>
        <w:t>rt consisting of three judges, 28 U. S. C. s 380 (28 USCA s 380), denied plaintiff’s application for a temporary injunction, and No. 122 is plaintiff’s appeal from such refusal. As final judgment has been entered, this appeal will be dismissed. The final d</w:t>
      </w:r>
      <w:r>
        <w:rPr>
          <w:rFonts w:ascii="Times New Roman" w:hAnsi="Times New Roman"/>
          <w:color w:val="000000"/>
          <w:sz w:val="20"/>
          <w:szCs w:val="20"/>
        </w:rPr>
        <w:t xml:space="preserve">ecree sustains certain regulatory </w:t>
      </w:r>
      <w:bookmarkStart w:id="94" w:name="co_pp_sp_780_225_1"/>
      <w:bookmarkEnd w:id="94"/>
      <w:r>
        <w:rPr>
          <w:rFonts w:ascii="Times New Roman" w:hAnsi="Times New Roman"/>
          <w:b/>
          <w:bCs/>
          <w:color w:val="000000"/>
          <w:sz w:val="20"/>
          <w:szCs w:val="20"/>
        </w:rPr>
        <w:t>*225</w:t>
      </w:r>
      <w:r>
        <w:rPr>
          <w:rFonts w:ascii="Times New Roman" w:hAnsi="Times New Roman"/>
          <w:color w:val="000000"/>
          <w:sz w:val="20"/>
          <w:szCs w:val="20"/>
        </w:rPr>
        <w:t xml:space="preserve"> provisions of the act, but declares invalid some of its penal clauses. </w:t>
      </w:r>
      <w:hyperlink r:id="rId80" w:history="1">
        <w:r>
          <w:rPr>
            <w:rFonts w:ascii="Times New Roman" w:hAnsi="Times New Roman"/>
            <w:color w:val="0000FF"/>
            <w:sz w:val="20"/>
            <w:szCs w:val="20"/>
          </w:rPr>
          <w:t>51 F. (2d) 823. No. 485</w:t>
        </w:r>
      </w:hyperlink>
      <w:r>
        <w:rPr>
          <w:rFonts w:ascii="Times New Roman" w:hAnsi="Times New Roman"/>
          <w:color w:val="000000"/>
          <w:sz w:val="20"/>
          <w:szCs w:val="20"/>
        </w:rPr>
        <w:t xml:space="preserve"> is plaintiff’s appeal from the first-mentioned portion of the decree, and No. 486 i</w:t>
      </w:r>
      <w:r>
        <w:rPr>
          <w:rFonts w:ascii="Times New Roman" w:hAnsi="Times New Roman"/>
          <w:color w:val="000000"/>
          <w:sz w:val="20"/>
          <w:szCs w:val="20"/>
        </w:rPr>
        <w:t>s defendants’ appeal from the other part.</w:t>
      </w:r>
    </w:p>
    <w:p w14:paraId="4DDEECED"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 xml:space="preserve">The act prohibits the production of petroleum in such a manner or under such conditions as constitute waste. </w:t>
      </w:r>
      <w:bookmarkStart w:id="95" w:name="co_pp_sp_780_226_1"/>
      <w:bookmarkEnd w:id="95"/>
      <w:r>
        <w:rPr>
          <w:rFonts w:ascii="Times New Roman" w:hAnsi="Times New Roman"/>
          <w:b/>
          <w:bCs/>
          <w:color w:val="000000"/>
          <w:sz w:val="20"/>
          <w:szCs w:val="20"/>
        </w:rPr>
        <w:t>*226</w:t>
      </w:r>
      <w:r>
        <w:rPr>
          <w:rFonts w:ascii="Times New Roman" w:hAnsi="Times New Roman"/>
          <w:color w:val="000000"/>
          <w:sz w:val="20"/>
          <w:szCs w:val="20"/>
        </w:rPr>
        <w:t xml:space="preserve"> Section 1. Section 3 defines waste to include, in addition to it</w:t>
      </w:r>
      <w:r>
        <w:rPr>
          <w:rFonts w:ascii="Times New Roman" w:hAnsi="Times New Roman"/>
          <w:color w:val="000000"/>
          <w:sz w:val="20"/>
          <w:szCs w:val="20"/>
        </w:rPr>
        <w:t>s ordinary meaning, economic, underground, and surface waste, and waste incident to production in excess of transportation or marketing facilities or reasonable market demands, and empowers the commission to make rules and regulations for the prevention of</w:t>
      </w:r>
      <w:r>
        <w:rPr>
          <w:rFonts w:ascii="Times New Roman" w:hAnsi="Times New Roman"/>
          <w:color w:val="000000"/>
          <w:sz w:val="20"/>
          <w:szCs w:val="20"/>
        </w:rPr>
        <w:t xml:space="preserve"> such wastes. Whenever full production from any common source can only be under conditions constituting waste, one having </w:t>
      </w:r>
      <w:r>
        <w:rPr>
          <w:rFonts w:ascii="Times New Roman" w:hAnsi="Times New Roman"/>
          <w:color w:val="000000"/>
          <w:sz w:val="20"/>
          <w:szCs w:val="20"/>
        </w:rPr>
        <w:t>the right to produce oil from such source may take only such proportion of all that may be produced therefrom without waste as the pro</w:t>
      </w:r>
      <w:r>
        <w:rPr>
          <w:rFonts w:ascii="Times New Roman" w:hAnsi="Times New Roman"/>
          <w:color w:val="000000"/>
          <w:sz w:val="20"/>
          <w:szCs w:val="20"/>
        </w:rPr>
        <w:t xml:space="preserve">duction of his wells bears to the total. The commission is authorized to regulate the taking of oil from common sources so as to prevent unreasonable discrimination in favor of one source as against others. Section 4. Gauges are to be taken </w:t>
      </w:r>
      <w:bookmarkStart w:id="96" w:name="co_pp_sp_708_562_1"/>
      <w:bookmarkEnd w:id="96"/>
      <w:r>
        <w:rPr>
          <w:rFonts w:ascii="Times New Roman" w:hAnsi="Times New Roman"/>
          <w:b/>
          <w:bCs/>
          <w:color w:val="000000"/>
          <w:sz w:val="20"/>
          <w:szCs w:val="20"/>
        </w:rPr>
        <w:t>**562</w:t>
      </w:r>
      <w:r>
        <w:rPr>
          <w:rFonts w:ascii="Times New Roman" w:hAnsi="Times New Roman"/>
          <w:color w:val="000000"/>
          <w:sz w:val="20"/>
          <w:szCs w:val="20"/>
        </w:rPr>
        <w:t xml:space="preserve"> for the purpose of determining production of wells. And the commission is directed to promulgate rules and regulations and to appoint such agents as may be necessary to enforce the act. Section 5. Since the passage of the act, th</w:t>
      </w:r>
      <w:r>
        <w:rPr>
          <w:rFonts w:ascii="Times New Roman" w:hAnsi="Times New Roman"/>
          <w:color w:val="000000"/>
          <w:sz w:val="20"/>
          <w:szCs w:val="20"/>
        </w:rPr>
        <w:t xml:space="preserve">e commission has from time to time made </w:t>
      </w:r>
      <w:r>
        <w:rPr>
          <w:rFonts w:ascii="Times New Roman" w:hAnsi="Times New Roman"/>
          <w:color w:val="000000"/>
          <w:sz w:val="20"/>
          <w:szCs w:val="20"/>
        </w:rPr>
        <w:t>‘</w:t>
      </w:r>
      <w:r>
        <w:rPr>
          <w:rFonts w:ascii="Times New Roman" w:hAnsi="Times New Roman"/>
          <w:color w:val="000000"/>
          <w:sz w:val="20"/>
          <w:szCs w:val="20"/>
        </w:rPr>
        <w:t>proration orders.</w:t>
      </w:r>
      <w:r>
        <w:rPr>
          <w:rFonts w:ascii="Times New Roman" w:hAnsi="Times New Roman"/>
          <w:color w:val="000000"/>
          <w:sz w:val="20"/>
          <w:szCs w:val="20"/>
        </w:rPr>
        <w:t>’</w:t>
      </w:r>
    </w:p>
    <w:p w14:paraId="7C3431E9"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The court made its findings which, so far as need be given here, are indicated below:</w:t>
      </w:r>
    </w:p>
    <w:p w14:paraId="796BB479"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Plaintiff is engaged in Oklahoma in the business of producing and refining crude oil and transporting and mark</w:t>
      </w:r>
      <w:r>
        <w:rPr>
          <w:rFonts w:ascii="Times New Roman" w:hAnsi="Times New Roman"/>
          <w:color w:val="000000"/>
          <w:sz w:val="20"/>
          <w:szCs w:val="20"/>
        </w:rPr>
        <w:t>eting it and its products in intrastate and interstate commerce. It has oil and gas leases in both the Greater Seminole and the Oklahoma City fields. In each field it has nine wells. It owns a refinery having a daily capacity of 15,000 barrels of crude, an</w:t>
      </w:r>
      <w:r>
        <w:rPr>
          <w:rFonts w:ascii="Times New Roman" w:hAnsi="Times New Roman"/>
          <w:color w:val="000000"/>
          <w:sz w:val="20"/>
          <w:szCs w:val="20"/>
        </w:rPr>
        <w:t xml:space="preserve">d there produces gasoline and other products. It has approximately 735 tank cars, operates about 470 miles of pipe line, including adequate facilities for the transportation of crude oil from the fields to its refinery, and has about 256 wholesale and 263 </w:t>
      </w:r>
      <w:r>
        <w:rPr>
          <w:rFonts w:ascii="Times New Roman" w:hAnsi="Times New Roman"/>
          <w:color w:val="000000"/>
          <w:sz w:val="20"/>
          <w:szCs w:val="20"/>
        </w:rPr>
        <w:t xml:space="preserve">retail gasoline stations in Oklahoma and other states which are supplied from its refinery. At the refinery it has gas- </w:t>
      </w:r>
      <w:bookmarkStart w:id="97" w:name="co_pp_sp_780_227_1"/>
      <w:bookmarkEnd w:id="97"/>
      <w:r>
        <w:rPr>
          <w:rFonts w:ascii="Times New Roman" w:hAnsi="Times New Roman"/>
          <w:b/>
          <w:bCs/>
          <w:color w:val="000000"/>
          <w:sz w:val="20"/>
          <w:szCs w:val="20"/>
        </w:rPr>
        <w:t>*227</w:t>
      </w:r>
      <w:r>
        <w:rPr>
          <w:rFonts w:ascii="Times New Roman" w:hAnsi="Times New Roman"/>
          <w:color w:val="000000"/>
          <w:sz w:val="20"/>
          <w:szCs w:val="20"/>
        </w:rPr>
        <w:t xml:space="preserve"> tight steel storage tanks with a total capacity of about 645,000 barrels. It does not use earth</w:t>
      </w:r>
      <w:r>
        <w:rPr>
          <w:rFonts w:ascii="Times New Roman" w:hAnsi="Times New Roman"/>
          <w:color w:val="000000"/>
          <w:sz w:val="20"/>
          <w:szCs w:val="20"/>
        </w:rPr>
        <w:t>en storage or permit its crude to run at large, or waste any oil produced at its wells. All that it can produce will be utilized for commercial purposes. It also purchases much oil.</w:t>
      </w:r>
    </w:p>
    <w:p w14:paraId="33F77779"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The Greater Seminole area covers a territory fifteen to twenty by eight to</w:t>
      </w:r>
      <w:r>
        <w:rPr>
          <w:rFonts w:ascii="Times New Roman" w:hAnsi="Times New Roman"/>
          <w:color w:val="000000"/>
          <w:sz w:val="20"/>
          <w:szCs w:val="20"/>
        </w:rPr>
        <w:t xml:space="preserve"> ten miles, and has eight or more distinct pools in formations which do not overlie each other. The first pool was discovered in 1925, and by June 15, 1931, there were 2,141 producing wells having potential production of 564,908 barrels per day. The wells </w:t>
      </w:r>
      <w:r>
        <w:rPr>
          <w:rFonts w:ascii="Times New Roman" w:hAnsi="Times New Roman"/>
          <w:color w:val="000000"/>
          <w:sz w:val="20"/>
          <w:szCs w:val="20"/>
        </w:rPr>
        <w:t>are separately owned and operated by 80 lessees. About three-fourths of them, owning wells with 40 per cent. of the total potential capacity of the field, have no pipe lines or refineries, and are entirely dependent for an outlet for their crude upon other</w:t>
      </w:r>
      <w:r>
        <w:rPr>
          <w:rFonts w:ascii="Times New Roman" w:hAnsi="Times New Roman"/>
          <w:color w:val="000000"/>
          <w:sz w:val="20"/>
          <w:szCs w:val="20"/>
        </w:rPr>
        <w:t xml:space="preserve">s who purchase and transport oil. Five companies, owning wells with about 13 per cent. of the potential production, have pipe lines or refinery connections affording a partial outlet for their production. Nineteen other companies own or control pipe lines </w:t>
      </w:r>
      <w:r>
        <w:rPr>
          <w:rFonts w:ascii="Times New Roman" w:hAnsi="Times New Roman"/>
          <w:color w:val="000000"/>
          <w:sz w:val="20"/>
          <w:szCs w:val="20"/>
        </w:rPr>
        <w:t>extending into this area having a daily capacity of 468,200 barrels, and most of them from time to time purchase oil from other producers in the field.</w:t>
      </w:r>
    </w:p>
    <w:p w14:paraId="37AF3DFD"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lastRenderedPageBreak/>
        <w:t>The Oklahoma City field, about 65 miles west of the Seminole, is about six by three miles, and part of i</w:t>
      </w:r>
      <w:r>
        <w:rPr>
          <w:rFonts w:ascii="Times New Roman" w:hAnsi="Times New Roman"/>
          <w:color w:val="000000"/>
          <w:sz w:val="20"/>
          <w:szCs w:val="20"/>
        </w:rPr>
        <w:t>t has been divided into small lots. All of plaintiff’s leases are in that portion of the field. Oil was discovered there in December, 1928, and is being produced from four different formations more than 6,000 feet below the surface. In some parts of the ar</w:t>
      </w:r>
      <w:r>
        <w:rPr>
          <w:rFonts w:ascii="Times New Roman" w:hAnsi="Times New Roman"/>
          <w:color w:val="000000"/>
          <w:sz w:val="20"/>
          <w:szCs w:val="20"/>
        </w:rPr>
        <w:t>ea two or more overlie each other, and at many points the wells penetrate all overlying formations and are capable of producing from all of them. The field is not yet fully developed. June 15, 1931, there were 746 producing wells having an estimated potent</w:t>
      </w:r>
      <w:r>
        <w:rPr>
          <w:rFonts w:ascii="Times New Roman" w:hAnsi="Times New Roman"/>
          <w:color w:val="000000"/>
          <w:sz w:val="20"/>
          <w:szCs w:val="20"/>
        </w:rPr>
        <w:t xml:space="preserve">ial of 2,987,993 barrels per day. These wells are owned by 53 different lessees. Thirty-six of them are wholly, and </w:t>
      </w:r>
      <w:bookmarkStart w:id="98" w:name="co_pp_sp_780_228_1"/>
      <w:bookmarkEnd w:id="98"/>
      <w:r>
        <w:rPr>
          <w:rFonts w:ascii="Times New Roman" w:hAnsi="Times New Roman"/>
          <w:b/>
          <w:bCs/>
          <w:color w:val="000000"/>
          <w:sz w:val="20"/>
          <w:szCs w:val="20"/>
        </w:rPr>
        <w:t>*228</w:t>
      </w:r>
      <w:r>
        <w:rPr>
          <w:rFonts w:ascii="Times New Roman" w:hAnsi="Times New Roman"/>
          <w:color w:val="000000"/>
          <w:sz w:val="20"/>
          <w:szCs w:val="20"/>
        </w:rPr>
        <w:t xml:space="preserve"> eight are partially, nonintegrated; they operate wells having about 90 per cent. of total potential</w:t>
      </w:r>
      <w:r>
        <w:rPr>
          <w:rFonts w:ascii="Times New Roman" w:hAnsi="Times New Roman"/>
          <w:color w:val="000000"/>
          <w:sz w:val="20"/>
          <w:szCs w:val="20"/>
        </w:rPr>
        <w:t xml:space="preserve"> production. The ten producing companies control pipe lines extending into this area with a carrying capacity of only 316,000 barrels per day. Most of them from time to time purchase oil from other producers there.</w:t>
      </w:r>
    </w:p>
    <w:p w14:paraId="58E9F55D"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 xml:space="preserve">Crude oil and natural gas occur together </w:t>
      </w:r>
      <w:r>
        <w:rPr>
          <w:rFonts w:ascii="Times New Roman" w:hAnsi="Times New Roman"/>
          <w:color w:val="000000"/>
          <w:sz w:val="20"/>
          <w:szCs w:val="20"/>
        </w:rPr>
        <w:t>or in close proximity to each other, and the gas in a pool moves the contents toward the point of least resistance. When wells are drilled into a pool, the oil and gas move from place to place. If some of the wells are permitted to produce a greater propor</w:t>
      </w:r>
      <w:r>
        <w:rPr>
          <w:rFonts w:ascii="Times New Roman" w:hAnsi="Times New Roman"/>
          <w:color w:val="000000"/>
          <w:sz w:val="20"/>
          <w:szCs w:val="20"/>
        </w:rPr>
        <w:t>tion of their capacity than others, drainage occurs from the less active to the more active. There is a heavy gas pressure in the Oklahoma City field. Where proportional taking from the wells in flush pools is not enforced, operators who do not have physic</w:t>
      </w:r>
      <w:r>
        <w:rPr>
          <w:rFonts w:ascii="Times New Roman" w:hAnsi="Times New Roman"/>
          <w:color w:val="000000"/>
          <w:sz w:val="20"/>
          <w:szCs w:val="20"/>
        </w:rPr>
        <w:t>al or market outlets are forced to produce to capacity in order to prevent drainage to others having adequate outlets. In Oklahoma prior to the passage of the act, large quantities of oil produced in excess of transportation facilities or demand therefor w</w:t>
      </w:r>
      <w:r>
        <w:rPr>
          <w:rFonts w:ascii="Times New Roman" w:hAnsi="Times New Roman"/>
          <w:color w:val="000000"/>
          <w:sz w:val="20"/>
          <w:szCs w:val="20"/>
        </w:rPr>
        <w:t>ere stored in surface tanks, and, by reason of seepage, rain, fire, and evaporation, enormous waste occurred. Uncontrolled flow of flush or semiflush wells for any considerable period exhausts an excessive amount of pressure, wastefully uses the gas, and g</w:t>
      </w:r>
      <w:r>
        <w:rPr>
          <w:rFonts w:ascii="Times New Roman" w:hAnsi="Times New Roman"/>
          <w:color w:val="000000"/>
          <w:sz w:val="20"/>
          <w:szCs w:val="20"/>
        </w:rPr>
        <w:t>reatly lessens ultimate recovery. Appropriate utilization of gas energy is especially important in the Oklahoma City field where, because of the great depth of the wells, the cost of artificially recovering the oil would be very high.</w:t>
      </w:r>
    </w:p>
    <w:p w14:paraId="2276E48D"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The first of the pres</w:t>
      </w:r>
      <w:r>
        <w:rPr>
          <w:rFonts w:ascii="Times New Roman" w:hAnsi="Times New Roman"/>
          <w:color w:val="000000"/>
          <w:sz w:val="20"/>
          <w:szCs w:val="20"/>
        </w:rPr>
        <w:t>ent series of proration orders took effect August 1, 1927, and applied to the then flush and semiflush pools in the Seminole. Similar orders have been in effect almost continuously since that time. Soon after the discovery of oil in the Oklahoma City field</w:t>
      </w:r>
      <w:r>
        <w:rPr>
          <w:rFonts w:ascii="Times New Roman" w:hAnsi="Times New Roman"/>
          <w:color w:val="000000"/>
          <w:sz w:val="20"/>
          <w:szCs w:val="20"/>
        </w:rPr>
        <w:t xml:space="preserve">, production exceeded market demand there. The first proration order applicable in that field took effect October 15, </w:t>
      </w:r>
      <w:bookmarkStart w:id="99" w:name="co_pp_sp_780_229_1"/>
      <w:bookmarkEnd w:id="99"/>
      <w:r>
        <w:rPr>
          <w:rFonts w:ascii="Times New Roman" w:hAnsi="Times New Roman"/>
          <w:b/>
          <w:bCs/>
          <w:color w:val="000000"/>
          <w:sz w:val="20"/>
          <w:szCs w:val="20"/>
        </w:rPr>
        <w:t>*229</w:t>
      </w:r>
      <w:r>
        <w:rPr>
          <w:rFonts w:ascii="Times New Roman" w:hAnsi="Times New Roman"/>
          <w:color w:val="000000"/>
          <w:sz w:val="20"/>
          <w:szCs w:val="20"/>
        </w:rPr>
        <w:t xml:space="preserve"> 1929. Such orders usually covered short terms because of rapidly changing potential production an</w:t>
      </w:r>
      <w:r>
        <w:rPr>
          <w:rFonts w:ascii="Times New Roman" w:hAnsi="Times New Roman"/>
          <w:color w:val="000000"/>
          <w:sz w:val="20"/>
          <w:szCs w:val="20"/>
        </w:rPr>
        <w:t>d market demand from each of the pools.</w:t>
      </w:r>
    </w:p>
    <w:p w14:paraId="462AC10D"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All the proration orders attacked by plaintiff were made pursuant to sections 1, 3, 4, 5, and 6 of the act. Each, and the findings that it contained, were made after notice to all interested persons and were based up</w:t>
      </w:r>
      <w:r>
        <w:rPr>
          <w:rFonts w:ascii="Times New Roman" w:hAnsi="Times New Roman"/>
          <w:color w:val="000000"/>
          <w:sz w:val="20"/>
          <w:szCs w:val="20"/>
        </w:rPr>
        <w:t xml:space="preserve">on evidence adduced at the hearings. The allegations </w:t>
      </w:r>
      <w:bookmarkStart w:id="100" w:name="co_pp_sp_708_563_1"/>
      <w:bookmarkEnd w:id="100"/>
      <w:r>
        <w:rPr>
          <w:rFonts w:ascii="Times New Roman" w:hAnsi="Times New Roman"/>
          <w:b/>
          <w:bCs/>
          <w:color w:val="000000"/>
          <w:sz w:val="20"/>
          <w:szCs w:val="20"/>
        </w:rPr>
        <w:t>**563</w:t>
      </w:r>
      <w:r>
        <w:rPr>
          <w:rFonts w:ascii="Times New Roman" w:hAnsi="Times New Roman"/>
          <w:color w:val="000000"/>
          <w:sz w:val="20"/>
          <w:szCs w:val="20"/>
        </w:rPr>
        <w:t xml:space="preserve"> of the complaint that the orders were made by the commission without having heard the testimony of witnesses under oath or any legal evidence were not sustained </w:t>
      </w:r>
      <w:r>
        <w:rPr>
          <w:rFonts w:ascii="Times New Roman" w:hAnsi="Times New Roman"/>
          <w:color w:val="000000"/>
          <w:sz w:val="20"/>
          <w:szCs w:val="20"/>
        </w:rPr>
        <w:t>before the court.</w:t>
      </w:r>
    </w:p>
    <w:p w14:paraId="713CE2AA"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The commission construes the act as intended to empower it to limit production to the amount of the reasonable daily market demand and to require ratable production by all taking from the common source. In current orders it has found that</w:t>
      </w:r>
      <w:r>
        <w:rPr>
          <w:rFonts w:ascii="Times New Roman" w:hAnsi="Times New Roman"/>
          <w:color w:val="000000"/>
          <w:sz w:val="20"/>
          <w:szCs w:val="20"/>
        </w:rPr>
        <w:t xml:space="preserve"> waste of oil will result in the prorated areas unless production is limited to such demand. In order No. 5189, June 30, 1930, it found that the potential production in the United States was approximately 4,730,000 barrels per day, and that imports amounte</w:t>
      </w:r>
      <w:r>
        <w:rPr>
          <w:rFonts w:ascii="Times New Roman" w:hAnsi="Times New Roman"/>
          <w:color w:val="000000"/>
          <w:sz w:val="20"/>
          <w:szCs w:val="20"/>
        </w:rPr>
        <w:t>d to about 300,000 barrels, creating a supply of over 5,000,000 barrels as against an estimated domestic and export demand of 2,800,000 barrels. And it found that the existing stocks of crude in storage exceeded the needs of the industry, and that purchase</w:t>
      </w:r>
      <w:r>
        <w:rPr>
          <w:rFonts w:ascii="Times New Roman" w:hAnsi="Times New Roman"/>
          <w:color w:val="000000"/>
          <w:sz w:val="20"/>
          <w:szCs w:val="20"/>
        </w:rPr>
        <w:t>rs were unwilling to buy in Oklahoma for storage in any amount sufficient to take the surplus of potential production in that state. Similar findings are contained in the commission’s subsequent orders.</w:t>
      </w:r>
    </w:p>
    <w:p w14:paraId="47D096E2"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Based on findings of the daily potential of the Oklah</w:t>
      </w:r>
      <w:r>
        <w:rPr>
          <w:rFonts w:ascii="Times New Roman" w:hAnsi="Times New Roman"/>
          <w:color w:val="000000"/>
          <w:sz w:val="20"/>
          <w:szCs w:val="20"/>
        </w:rPr>
        <w:t>oma City field and the amount of the market outlet for oil there, that is, the amount that could be produced without waste as defined by the act, plaintiff at the time of the trial was limited by the proration orders to about 6 per cent. of the total produ</w:t>
      </w:r>
      <w:r>
        <w:rPr>
          <w:rFonts w:ascii="Times New Roman" w:hAnsi="Times New Roman"/>
          <w:color w:val="000000"/>
          <w:sz w:val="20"/>
          <w:szCs w:val="20"/>
        </w:rPr>
        <w:t xml:space="preserve">ction of its wells in that field. And the orders also operated to restrict plaintiff </w:t>
      </w:r>
      <w:bookmarkStart w:id="101" w:name="co_pp_sp_780_230_1"/>
      <w:bookmarkEnd w:id="101"/>
      <w:r>
        <w:rPr>
          <w:rFonts w:ascii="Times New Roman" w:hAnsi="Times New Roman"/>
          <w:b/>
          <w:bCs/>
          <w:color w:val="000000"/>
          <w:sz w:val="20"/>
          <w:szCs w:val="20"/>
        </w:rPr>
        <w:t>*230</w:t>
      </w:r>
      <w:r>
        <w:rPr>
          <w:rFonts w:ascii="Times New Roman" w:hAnsi="Times New Roman"/>
          <w:color w:val="000000"/>
          <w:sz w:val="20"/>
          <w:szCs w:val="20"/>
        </w:rPr>
        <w:t xml:space="preserve"> to much less than the potential production of its nine wells in the Seminole pools.</w:t>
      </w:r>
    </w:p>
    <w:p w14:paraId="28393126"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The court found that at all times covered by o</w:t>
      </w:r>
      <w:r>
        <w:rPr>
          <w:rFonts w:ascii="Times New Roman" w:hAnsi="Times New Roman"/>
          <w:color w:val="000000"/>
          <w:sz w:val="20"/>
          <w:szCs w:val="20"/>
        </w:rPr>
        <w:t>rders involved there was a serious potential overproduction throughout the United States and particularly in the flush and semiflush pools in the Seminole and Oklahoma City fields; that, if no curtailment were applied, crude oil for lack of market demand a</w:t>
      </w:r>
      <w:r>
        <w:rPr>
          <w:rFonts w:ascii="Times New Roman" w:hAnsi="Times New Roman"/>
          <w:color w:val="000000"/>
          <w:sz w:val="20"/>
          <w:szCs w:val="20"/>
        </w:rPr>
        <w:t>nd adequate storage tanks would inevitably go into earthen storage and be wasted; that the full potential production exceeded all transportation and marketing facilities and market demands; that accordingly it was necessary, in order to prevent waste, that</w:t>
      </w:r>
      <w:r>
        <w:rPr>
          <w:rFonts w:ascii="Times New Roman" w:hAnsi="Times New Roman"/>
          <w:color w:val="000000"/>
          <w:sz w:val="20"/>
          <w:szCs w:val="20"/>
        </w:rPr>
        <w:t xml:space="preserve"> production of flush and semiflush pools should be restricted as directed by the proration orders, and that to enforce such curtailment, with equity and justice to the several producers in each pool, it was necessary to enforce proportional taking from eac</w:t>
      </w:r>
      <w:r>
        <w:rPr>
          <w:rFonts w:ascii="Times New Roman" w:hAnsi="Times New Roman"/>
          <w:color w:val="000000"/>
          <w:sz w:val="20"/>
          <w:szCs w:val="20"/>
        </w:rPr>
        <w:t xml:space="preserve">h well and lease therein, and that, upon the testimony of operators and others, a comprehensive plan of curtailment and proration conforming to the rules prescribed in the act was adopted </w:t>
      </w:r>
      <w:r>
        <w:rPr>
          <w:rFonts w:ascii="Times New Roman" w:hAnsi="Times New Roman"/>
          <w:color w:val="000000"/>
          <w:sz w:val="20"/>
          <w:szCs w:val="20"/>
        </w:rPr>
        <w:lastRenderedPageBreak/>
        <w:t>by the commission and was set forth in its orders.</w:t>
      </w:r>
    </w:p>
    <w:p w14:paraId="351F3880"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The commission, a</w:t>
      </w:r>
      <w:r>
        <w:rPr>
          <w:rFonts w:ascii="Times New Roman" w:hAnsi="Times New Roman"/>
          <w:color w:val="000000"/>
          <w:sz w:val="20"/>
          <w:szCs w:val="20"/>
        </w:rPr>
        <w:t>cting under section 5 of the act and with the consent of the Governor of the state, appointed one Collins as its umpire and agent, and constituted certain producers in each pool an operating committee to assist him in administering the prescribed rules and</w:t>
      </w:r>
      <w:r>
        <w:rPr>
          <w:rFonts w:ascii="Times New Roman" w:hAnsi="Times New Roman"/>
          <w:color w:val="000000"/>
          <w:sz w:val="20"/>
          <w:szCs w:val="20"/>
        </w:rPr>
        <w:t xml:space="preserve"> regulations. Later, one Bradford was appointed assistant umpire and agent. He spent all his time in the Oklahoma City field, leaving Collins to serve in the other prorated areas. They supervised the taking of gauges, ascertained daily production of prorat</w:t>
      </w:r>
      <w:r>
        <w:rPr>
          <w:rFonts w:ascii="Times New Roman" w:hAnsi="Times New Roman"/>
          <w:color w:val="000000"/>
          <w:sz w:val="20"/>
          <w:szCs w:val="20"/>
        </w:rPr>
        <w:t>ed wells, checked the same against quantities transported, and kept complete records, to the end that wells in each pool should be operated in accordance with the commission’s rules, and that violations be detected and reported. No appropriation had been m</w:t>
      </w:r>
      <w:r>
        <w:rPr>
          <w:rFonts w:ascii="Times New Roman" w:hAnsi="Times New Roman"/>
          <w:color w:val="000000"/>
          <w:sz w:val="20"/>
          <w:szCs w:val="20"/>
        </w:rPr>
        <w:t xml:space="preserve">ade for the payment of umpires or agents. The commission did not have </w:t>
      </w:r>
      <w:bookmarkStart w:id="102" w:name="co_pp_sp_780_231_1"/>
      <w:bookmarkEnd w:id="102"/>
      <w:r>
        <w:rPr>
          <w:rFonts w:ascii="Times New Roman" w:hAnsi="Times New Roman"/>
          <w:b/>
          <w:bCs/>
          <w:color w:val="000000"/>
          <w:sz w:val="20"/>
          <w:szCs w:val="20"/>
        </w:rPr>
        <w:t>*231</w:t>
      </w:r>
      <w:r>
        <w:rPr>
          <w:rFonts w:ascii="Times New Roman" w:hAnsi="Times New Roman"/>
          <w:color w:val="000000"/>
          <w:sz w:val="20"/>
          <w:szCs w:val="20"/>
        </w:rPr>
        <w:t xml:space="preserve"> sufficient regular help for the administration of the proration orders. Members of operators’ committees served without pay. Collins’ salary and expenses have been paid by voluntary contributions of certain producers in the Seminole field, and Bradford’s </w:t>
      </w:r>
      <w:r>
        <w:rPr>
          <w:rFonts w:ascii="Times New Roman" w:hAnsi="Times New Roman"/>
          <w:color w:val="000000"/>
          <w:sz w:val="20"/>
          <w:szCs w:val="20"/>
        </w:rPr>
        <w:t>by voluntary contribution of producers in the Oklahoma City field. In each field a great majority of the producers joined to raise such funds, and contributions were prorated on the basis of production. This method of paying for such help has been followed</w:t>
      </w:r>
      <w:r>
        <w:rPr>
          <w:rFonts w:ascii="Times New Roman" w:hAnsi="Times New Roman"/>
          <w:color w:val="000000"/>
          <w:sz w:val="20"/>
          <w:szCs w:val="20"/>
        </w:rPr>
        <w:t xml:space="preserve"> since 1927, and at all times has been known to the commission, the Governor, and the public. In that period there have been two sessions of the Legislature, and it has not forbidden the practice or provided funds to pay for the work. Neither the umpire no</w:t>
      </w:r>
      <w:r>
        <w:rPr>
          <w:rFonts w:ascii="Times New Roman" w:hAnsi="Times New Roman"/>
          <w:color w:val="000000"/>
          <w:sz w:val="20"/>
          <w:szCs w:val="20"/>
        </w:rPr>
        <w:t>r the members of the committee are public officers; they are mere agents or employees of the commission. The evidence does not establish that they have been guilty of favoritism or dishonesty, or that the commission has acted arbitrarily or discriminated i</w:t>
      </w:r>
      <w:r>
        <w:rPr>
          <w:rFonts w:ascii="Times New Roman" w:hAnsi="Times New Roman"/>
          <w:color w:val="000000"/>
          <w:sz w:val="20"/>
          <w:szCs w:val="20"/>
        </w:rPr>
        <w:t>n favor of the groups paying such agents, or that the plaintiff has suffered any injury by reason thereof.</w:t>
      </w:r>
    </w:p>
    <w:p w14:paraId="09C75B19"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The commission has not discriminated against the Oklahoma City field or any other prorated area, nor in favor of the Seminole. The relation between p</w:t>
      </w:r>
      <w:r>
        <w:rPr>
          <w:rFonts w:ascii="Times New Roman" w:hAnsi="Times New Roman"/>
          <w:color w:val="000000"/>
          <w:sz w:val="20"/>
          <w:szCs w:val="20"/>
        </w:rPr>
        <w:t>otential production of each pool and the amount of crude oil that without waste could be produced therefrom was not the same in all prorated pools, and therefore the applicable percentages of curtailment varied. The same pipe lines and purchasers did not s</w:t>
      </w:r>
      <w:r>
        <w:rPr>
          <w:rFonts w:ascii="Times New Roman" w:hAnsi="Times New Roman"/>
          <w:color w:val="000000"/>
          <w:sz w:val="20"/>
          <w:szCs w:val="20"/>
        </w:rPr>
        <w:t>erve or take oil from all the pools, and in some the reasonable market demand was greater in proportion to potential production than in others. Some were prorated longer and had purchasers whose facilities do not extend to others. When oil was discovered i</w:t>
      </w:r>
      <w:r>
        <w:rPr>
          <w:rFonts w:ascii="Times New Roman" w:hAnsi="Times New Roman"/>
          <w:color w:val="000000"/>
          <w:sz w:val="20"/>
          <w:szCs w:val="20"/>
        </w:rPr>
        <w:t xml:space="preserve">n the Oklahoma City field the pools in the Seminole area were quite fully developed, and some had passed flush production. The latter is a more favored location </w:t>
      </w:r>
      <w:bookmarkStart w:id="103" w:name="co_pp_sp_708_564_1"/>
      <w:bookmarkEnd w:id="103"/>
      <w:r>
        <w:rPr>
          <w:rFonts w:ascii="Times New Roman" w:hAnsi="Times New Roman"/>
          <w:b/>
          <w:bCs/>
          <w:color w:val="000000"/>
          <w:sz w:val="20"/>
          <w:szCs w:val="20"/>
        </w:rPr>
        <w:t>**564</w:t>
      </w:r>
      <w:r>
        <w:rPr>
          <w:rFonts w:ascii="Times New Roman" w:hAnsi="Times New Roman"/>
          <w:color w:val="000000"/>
          <w:sz w:val="20"/>
          <w:szCs w:val="20"/>
        </w:rPr>
        <w:t xml:space="preserve"> </w:t>
      </w:r>
      <w:bookmarkStart w:id="104" w:name="co_pp_sp_780_232_1"/>
      <w:bookmarkEnd w:id="104"/>
      <w:r>
        <w:rPr>
          <w:rFonts w:ascii="Times New Roman" w:hAnsi="Times New Roman"/>
          <w:b/>
          <w:bCs/>
          <w:color w:val="000000"/>
          <w:sz w:val="20"/>
          <w:szCs w:val="20"/>
        </w:rPr>
        <w:t>*232</w:t>
      </w:r>
      <w:r>
        <w:rPr>
          <w:rFonts w:ascii="Times New Roman" w:hAnsi="Times New Roman"/>
          <w:color w:val="000000"/>
          <w:sz w:val="20"/>
          <w:szCs w:val="20"/>
        </w:rPr>
        <w:t xml:space="preserve"> in respect o</w:t>
      </w:r>
      <w:r>
        <w:rPr>
          <w:rFonts w:ascii="Times New Roman" w:hAnsi="Times New Roman"/>
          <w:color w:val="000000"/>
          <w:sz w:val="20"/>
          <w:szCs w:val="20"/>
        </w:rPr>
        <w:t xml:space="preserve">f trunk pipe lines and has a larger market </w:t>
      </w:r>
      <w:r>
        <w:rPr>
          <w:rFonts w:ascii="Times New Roman" w:hAnsi="Times New Roman"/>
          <w:color w:val="000000"/>
          <w:sz w:val="20"/>
          <w:szCs w:val="20"/>
        </w:rPr>
        <w:t xml:space="preserve">demand, although the daily production of the former is greater. The constant bringing in of new wells in the Oklahoma City field has resulted in a continuous and rapid increase in the potential production of that </w:t>
      </w:r>
      <w:r>
        <w:rPr>
          <w:rFonts w:ascii="Times New Roman" w:hAnsi="Times New Roman"/>
          <w:color w:val="000000"/>
          <w:sz w:val="20"/>
          <w:szCs w:val="20"/>
        </w:rPr>
        <w:t>field, whereas market demand for oil there has increased very slowly.</w:t>
      </w:r>
    </w:p>
    <w:p w14:paraId="3FFE8455"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 xml:space="preserve">None of the commission’s orders has been made for the purpose of fixing the price of crude oil, or has had that effect. When the first order was made the price was more than two dollars </w:t>
      </w:r>
      <w:r>
        <w:rPr>
          <w:rFonts w:ascii="Times New Roman" w:hAnsi="Times New Roman"/>
          <w:color w:val="000000"/>
          <w:sz w:val="20"/>
          <w:szCs w:val="20"/>
        </w:rPr>
        <w:t>per barrel, but it declined until at the time of the trial it was only thirty-five cents. In each case the commission has allowed to be produced the full amount of the market demand for each pool. It has never entered any order under section 2 of the act.</w:t>
      </w:r>
    </w:p>
    <w:p w14:paraId="222777D7"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It was not shown that the commission intended to limit the amount of oil entering interstate commerce for the purpose of controlling the price of crude oil or its products, or of eliminating plaintiff or any producer or refiner from competition, or that th</w:t>
      </w:r>
      <w:r>
        <w:rPr>
          <w:rFonts w:ascii="Times New Roman" w:hAnsi="Times New Roman"/>
          <w:color w:val="000000"/>
          <w:sz w:val="20"/>
          <w:szCs w:val="20"/>
        </w:rPr>
        <w:t>ere was any combination among plaintiff’s competitors for the purpose of restricting interstate commerce in crude oil or its products or that any operators’ committee made up of plaintiff’s competitors formulated the proration orders.</w:t>
      </w:r>
    </w:p>
    <w:p w14:paraId="5F2D271B"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The evidence before t</w:t>
      </w:r>
      <w:r>
        <w:rPr>
          <w:rFonts w:ascii="Times New Roman" w:hAnsi="Times New Roman"/>
          <w:color w:val="000000"/>
          <w:sz w:val="20"/>
          <w:szCs w:val="20"/>
        </w:rPr>
        <w:t>he trial court undoubtedly sustains the findings above referred to, and they are adopted here.</w:t>
      </w:r>
    </w:p>
    <w:p w14:paraId="624212E5"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hyperlink r:id="rId81" w:history="1">
        <w:r>
          <w:rPr>
            <w:rFonts w:ascii="Times New Roman" w:hAnsi="Times New Roman"/>
            <w:b/>
            <w:bCs/>
            <w:color w:val="252525"/>
            <w:sz w:val="20"/>
            <w:szCs w:val="20"/>
            <w:vertAlign w:val="superscript"/>
          </w:rPr>
          <w:t>[1]</w:t>
        </w:r>
      </w:hyperlink>
      <w:bookmarkStart w:id="105" w:name="co_anchor_B11932122515_1"/>
      <w:bookmarkEnd w:id="105"/>
      <w:r>
        <w:rPr>
          <w:rFonts w:ascii="Times New Roman" w:hAnsi="Times New Roman"/>
          <w:color w:val="000000"/>
          <w:sz w:val="20"/>
          <w:szCs w:val="20"/>
        </w:rPr>
        <w:t xml:space="preserve"> </w:t>
      </w:r>
      <w:hyperlink r:id="rId82" w:history="1">
        <w:r>
          <w:rPr>
            <w:rFonts w:ascii="Times New Roman" w:hAnsi="Times New Roman"/>
            <w:b/>
            <w:bCs/>
            <w:color w:val="252525"/>
            <w:sz w:val="20"/>
            <w:szCs w:val="20"/>
            <w:vertAlign w:val="superscript"/>
          </w:rPr>
          <w:t>[2]</w:t>
        </w:r>
      </w:hyperlink>
      <w:bookmarkStart w:id="106" w:name="co_anchor_B21932122515_1"/>
      <w:bookmarkEnd w:id="106"/>
      <w:r>
        <w:rPr>
          <w:rFonts w:ascii="Times New Roman" w:hAnsi="Times New Roman"/>
          <w:color w:val="000000"/>
          <w:sz w:val="20"/>
          <w:szCs w:val="20"/>
        </w:rPr>
        <w:t xml:space="preserve"> </w:t>
      </w:r>
      <w:hyperlink r:id="rId83" w:history="1">
        <w:r>
          <w:rPr>
            <w:rFonts w:ascii="Times New Roman" w:hAnsi="Times New Roman"/>
            <w:b/>
            <w:bCs/>
            <w:color w:val="252525"/>
            <w:sz w:val="20"/>
            <w:szCs w:val="20"/>
            <w:vertAlign w:val="superscript"/>
          </w:rPr>
          <w:t>[3]</w:t>
        </w:r>
      </w:hyperlink>
      <w:bookmarkStart w:id="107" w:name="co_anchor_B31932122515_1"/>
      <w:bookmarkEnd w:id="107"/>
      <w:r>
        <w:rPr>
          <w:rFonts w:ascii="Times New Roman" w:hAnsi="Times New Roman"/>
          <w:color w:val="000000"/>
          <w:sz w:val="20"/>
          <w:szCs w:val="20"/>
        </w:rPr>
        <w:t xml:space="preserve"> 1. Plaintiff here insists that the act is repugnant to the due process and equal protection clauses of the Fourteenth Amendment.</w:t>
      </w:r>
    </w:p>
    <w:p w14:paraId="1BDBBE19"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r>
        <w:rPr>
          <w:rFonts w:ascii="Times New Roman" w:hAnsi="Times New Roman"/>
          <w:color w:val="000000"/>
          <w:sz w:val="20"/>
          <w:szCs w:val="20"/>
        </w:rPr>
        <w:t> </w:t>
      </w:r>
    </w:p>
    <w:p w14:paraId="581895EE"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We need not consider its suggestion that the business of production and sale of crude oil is not a public service, and that it does not devote its property to the public use. The proration orders do not purport to have been made, and in fact were not made,</w:t>
      </w:r>
      <w:r>
        <w:rPr>
          <w:rFonts w:ascii="Times New Roman" w:hAnsi="Times New Roman"/>
          <w:color w:val="000000"/>
          <w:sz w:val="20"/>
          <w:szCs w:val="20"/>
        </w:rPr>
        <w:t xml:space="preserve"> in respect of services or charges </w:t>
      </w:r>
      <w:bookmarkStart w:id="108" w:name="co_pp_sp_780_233_1"/>
      <w:bookmarkEnd w:id="108"/>
      <w:r>
        <w:rPr>
          <w:rFonts w:ascii="Times New Roman" w:hAnsi="Times New Roman"/>
          <w:b/>
          <w:bCs/>
          <w:color w:val="000000"/>
          <w:sz w:val="20"/>
          <w:szCs w:val="20"/>
        </w:rPr>
        <w:t>*233</w:t>
      </w:r>
      <w:r>
        <w:rPr>
          <w:rFonts w:ascii="Times New Roman" w:hAnsi="Times New Roman"/>
          <w:color w:val="000000"/>
          <w:sz w:val="20"/>
          <w:szCs w:val="20"/>
        </w:rPr>
        <w:t xml:space="preserve"> of any calling so affected with a public interest as to be subject to regulation as to rates or prices.</w:t>
      </w:r>
    </w:p>
    <w:p w14:paraId="423CA4ED"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Plaintiff insists that it has a vested right to drill wells upon the lands c</w:t>
      </w:r>
      <w:r>
        <w:rPr>
          <w:rFonts w:ascii="Times New Roman" w:hAnsi="Times New Roman"/>
          <w:color w:val="000000"/>
          <w:sz w:val="20"/>
          <w:szCs w:val="20"/>
        </w:rPr>
        <w:t>overed by its leases and to take all the natural flow of oil and gas therefrom so long as it does so without physical waste and devotes the production to commercial uses. But if plaintiff should take all the flow of its wells, there would inevitably result</w:t>
      </w:r>
      <w:r>
        <w:rPr>
          <w:rFonts w:ascii="Times New Roman" w:hAnsi="Times New Roman"/>
          <w:color w:val="000000"/>
          <w:sz w:val="20"/>
          <w:szCs w:val="20"/>
        </w:rPr>
        <w:t xml:space="preserve"> great physical waste even if its entire production should be devoted to useful purposes. The improvident use of natural gas pressure inevitably attending such operations would cause great diminution in the quantity of crude oil ultimately to be recovered </w:t>
      </w:r>
      <w:r>
        <w:rPr>
          <w:rFonts w:ascii="Times New Roman" w:hAnsi="Times New Roman"/>
          <w:color w:val="000000"/>
          <w:sz w:val="20"/>
          <w:szCs w:val="20"/>
        </w:rPr>
        <w:t xml:space="preserve">from the pool. Other lessees and owners of land above the pool would be compelled, for self-protection against plaintiff’s taking, also to draw from the common source, and so to add to the wasteful use of lifting pressure. And because of </w:t>
      </w:r>
      <w:r>
        <w:rPr>
          <w:rFonts w:ascii="Times New Roman" w:hAnsi="Times New Roman"/>
          <w:color w:val="000000"/>
          <w:sz w:val="20"/>
          <w:szCs w:val="20"/>
        </w:rPr>
        <w:lastRenderedPageBreak/>
        <w:t>the lack, especial</w:t>
      </w:r>
      <w:r>
        <w:rPr>
          <w:rFonts w:ascii="Times New Roman" w:hAnsi="Times New Roman"/>
          <w:color w:val="000000"/>
          <w:sz w:val="20"/>
          <w:szCs w:val="20"/>
        </w:rPr>
        <w:t>ly on the part of the nonintegrated operators, of means of transportation or appropriate storage and of market demand, the contest would, as is made plain by the evidence and findings, result in surface waste of large quantities of crude oil.</w:t>
      </w:r>
    </w:p>
    <w:p w14:paraId="2B8FED4B"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 xml:space="preserve">In Oklahoma, </w:t>
      </w:r>
      <w:r>
        <w:rPr>
          <w:rFonts w:ascii="Times New Roman" w:hAnsi="Times New Roman"/>
          <w:color w:val="000000"/>
          <w:sz w:val="20"/>
          <w:szCs w:val="20"/>
        </w:rPr>
        <w:t>as generally elsewhere, landowners do not have absolute title to the gas and oil that may permeate below the surface. These minerals, differing from solids in place such as coal and iron, are fugacious and of uncertain movement within the limits of the poo</w:t>
      </w:r>
      <w:r>
        <w:rPr>
          <w:rFonts w:ascii="Times New Roman" w:hAnsi="Times New Roman"/>
          <w:color w:val="000000"/>
          <w:sz w:val="20"/>
          <w:szCs w:val="20"/>
        </w:rPr>
        <w:t>l. Every person has the right to drill wells on his own land and take from the pools below all the gas and oil that he may be able to reduce to possession including that coming from land belonging to others, but the right to take and thus to acquire owners</w:t>
      </w:r>
      <w:r>
        <w:rPr>
          <w:rFonts w:ascii="Times New Roman" w:hAnsi="Times New Roman"/>
          <w:color w:val="000000"/>
          <w:sz w:val="20"/>
          <w:szCs w:val="20"/>
        </w:rPr>
        <w:t xml:space="preserve">hip is subject to the reasonable exertion of the power of the state to prevent unnecessary loss, destruction, or waste. And that power extends to the taker’s unreasonable and wasteful use of natural gas </w:t>
      </w:r>
      <w:bookmarkStart w:id="109" w:name="co_pp_sp_780_234_1"/>
      <w:bookmarkEnd w:id="109"/>
      <w:r>
        <w:rPr>
          <w:rFonts w:ascii="Times New Roman" w:hAnsi="Times New Roman"/>
          <w:b/>
          <w:bCs/>
          <w:color w:val="000000"/>
          <w:sz w:val="20"/>
          <w:szCs w:val="20"/>
        </w:rPr>
        <w:t>*234</w:t>
      </w:r>
      <w:r>
        <w:rPr>
          <w:rFonts w:ascii="Times New Roman" w:hAnsi="Times New Roman"/>
          <w:color w:val="000000"/>
          <w:sz w:val="20"/>
          <w:szCs w:val="20"/>
        </w:rPr>
        <w:t xml:space="preserve"> pressure ava</w:t>
      </w:r>
      <w:r>
        <w:rPr>
          <w:rFonts w:ascii="Times New Roman" w:hAnsi="Times New Roman"/>
          <w:color w:val="000000"/>
          <w:sz w:val="20"/>
          <w:szCs w:val="20"/>
        </w:rPr>
        <w:t xml:space="preserve">ilable for lifting the oil to the surface, and the unreasonable and wasteful depletion of a common supply of gas and oil to the injury to others entitled to resort to and take from the same pool. </w:t>
      </w:r>
      <w:hyperlink r:id="rId84" w:history="1">
        <w:r>
          <w:rPr>
            <w:rFonts w:ascii="Times New Roman" w:hAnsi="Times New Roman"/>
            <w:color w:val="0000FF"/>
            <w:sz w:val="20"/>
            <w:szCs w:val="20"/>
          </w:rPr>
          <w:t>Ohio Oil Co. v. Indiana, 177 U. S. 190, 20 S. Ct. 576, 44 L.</w:t>
        </w:r>
        <w:r>
          <w:rPr>
            <w:rFonts w:ascii="Times New Roman" w:hAnsi="Times New Roman"/>
            <w:color w:val="0000FF"/>
            <w:sz w:val="20"/>
            <w:szCs w:val="20"/>
          </w:rPr>
          <w:t xml:space="preserve"> Ed. 729;</w:t>
        </w:r>
      </w:hyperlink>
      <w:r>
        <w:rPr>
          <w:rFonts w:ascii="Times New Roman" w:hAnsi="Times New Roman"/>
          <w:color w:val="000000"/>
          <w:sz w:val="20"/>
          <w:szCs w:val="20"/>
        </w:rPr>
        <w:t xml:space="preserve"> </w:t>
      </w:r>
      <w:hyperlink r:id="rId85" w:history="1">
        <w:r>
          <w:rPr>
            <w:rFonts w:ascii="Times New Roman" w:hAnsi="Times New Roman"/>
            <w:color w:val="0000FF"/>
            <w:sz w:val="20"/>
            <w:szCs w:val="20"/>
          </w:rPr>
          <w:t>Lindsley v. Natural Carbonic Gas Co., 220 U. S. 61, 77, 31 S. Ct. 337, 55 L. Ed. 369, Ann. Cas. 1912C, 160;</w:t>
        </w:r>
      </w:hyperlink>
      <w:r>
        <w:rPr>
          <w:rFonts w:ascii="Times New Roman" w:hAnsi="Times New Roman"/>
          <w:color w:val="000000"/>
          <w:sz w:val="20"/>
          <w:szCs w:val="20"/>
        </w:rPr>
        <w:t xml:space="preserve"> </w:t>
      </w:r>
      <w:hyperlink r:id="rId86" w:history="1">
        <w:r>
          <w:rPr>
            <w:rFonts w:ascii="Times New Roman" w:hAnsi="Times New Roman"/>
            <w:color w:val="0000FF"/>
            <w:sz w:val="20"/>
            <w:szCs w:val="20"/>
          </w:rPr>
          <w:t>Bandini Co. v. Superior Court, Los Angeles County, Cal., 284 U. S. 8, 19</w:t>
        </w:r>
      </w:hyperlink>
      <w:r>
        <w:rPr>
          <w:rFonts w:ascii="Times New Roman" w:hAnsi="Times New Roman"/>
          <w:color w:val="000000"/>
          <w:sz w:val="20"/>
          <w:szCs w:val="20"/>
        </w:rPr>
        <w:t xml:space="preserve"> et seq., </w:t>
      </w:r>
      <w:hyperlink r:id="rId87" w:history="1">
        <w:r>
          <w:rPr>
            <w:rFonts w:ascii="Times New Roman" w:hAnsi="Times New Roman"/>
            <w:color w:val="0000FF"/>
            <w:sz w:val="20"/>
            <w:szCs w:val="20"/>
          </w:rPr>
          <w:t>52 S. Ct. 10</w:t>
        </w:r>
        <w:r>
          <w:rPr>
            <w:rFonts w:ascii="Times New Roman" w:hAnsi="Times New Roman"/>
            <w:color w:val="0000FF"/>
            <w:sz w:val="20"/>
            <w:szCs w:val="20"/>
          </w:rPr>
          <w:t>3, 76 L. Ed. 136;</w:t>
        </w:r>
      </w:hyperlink>
      <w:r>
        <w:rPr>
          <w:rFonts w:ascii="Times New Roman" w:hAnsi="Times New Roman"/>
          <w:color w:val="000000"/>
          <w:sz w:val="20"/>
          <w:szCs w:val="20"/>
        </w:rPr>
        <w:t xml:space="preserve"> </w:t>
      </w:r>
      <w:hyperlink r:id="rId88" w:history="1">
        <w:r>
          <w:rPr>
            <w:rFonts w:ascii="Times New Roman" w:hAnsi="Times New Roman"/>
            <w:color w:val="0000FF"/>
            <w:sz w:val="20"/>
            <w:szCs w:val="20"/>
          </w:rPr>
          <w:t>Brown v. Spilman, 155 U. S. 665, 669, 15 S. Ct. 245, 39 L. Ed. 304;</w:t>
        </w:r>
      </w:hyperlink>
      <w:r>
        <w:rPr>
          <w:rFonts w:ascii="Times New Roman" w:hAnsi="Times New Roman"/>
          <w:color w:val="000000"/>
          <w:sz w:val="20"/>
          <w:szCs w:val="20"/>
        </w:rPr>
        <w:t xml:space="preserve"> </w:t>
      </w:r>
      <w:hyperlink r:id="rId89" w:history="1">
        <w:r>
          <w:rPr>
            <w:rFonts w:ascii="Times New Roman" w:hAnsi="Times New Roman"/>
            <w:color w:val="0000FF"/>
            <w:sz w:val="20"/>
            <w:szCs w:val="20"/>
          </w:rPr>
          <w:t>Walls v. Midland Carbon Co., 254 U. S. 300, 323, 41 S. Ct. 118, 65 L. Ed. 276;</w:t>
        </w:r>
      </w:hyperlink>
      <w:r>
        <w:rPr>
          <w:rFonts w:ascii="Times New Roman" w:hAnsi="Times New Roman"/>
          <w:color w:val="000000"/>
          <w:sz w:val="20"/>
          <w:szCs w:val="20"/>
        </w:rPr>
        <w:t xml:space="preserve"> </w:t>
      </w:r>
      <w:hyperlink r:id="rId90" w:history="1">
        <w:r>
          <w:rPr>
            <w:rFonts w:ascii="Times New Roman" w:hAnsi="Times New Roman"/>
            <w:color w:val="0000FF"/>
            <w:sz w:val="20"/>
            <w:szCs w:val="20"/>
          </w:rPr>
          <w:t>Rich v. Doneghey, 71 Okl. 204, 177 P. 86, 3 A. L. R. 352;</w:t>
        </w:r>
      </w:hyperlink>
      <w:r>
        <w:rPr>
          <w:rFonts w:ascii="Times New Roman" w:hAnsi="Times New Roman"/>
          <w:color w:val="000000"/>
          <w:sz w:val="20"/>
          <w:szCs w:val="20"/>
        </w:rPr>
        <w:t xml:space="preserve"> </w:t>
      </w:r>
      <w:hyperlink r:id="rId91" w:history="1">
        <w:r>
          <w:rPr>
            <w:rFonts w:ascii="Times New Roman" w:hAnsi="Times New Roman"/>
            <w:color w:val="0000FF"/>
            <w:sz w:val="20"/>
            <w:szCs w:val="20"/>
          </w:rPr>
          <w:t>People v. Associated Oil Co., 211 Cal. 93, 100</w:t>
        </w:r>
      </w:hyperlink>
      <w:r>
        <w:rPr>
          <w:rFonts w:ascii="Times New Roman" w:hAnsi="Times New Roman"/>
          <w:color w:val="000000"/>
          <w:sz w:val="20"/>
          <w:szCs w:val="20"/>
        </w:rPr>
        <w:t xml:space="preserve"> et seq., </w:t>
      </w:r>
      <w:hyperlink r:id="rId92" w:history="1">
        <w:r>
          <w:rPr>
            <w:rFonts w:ascii="Times New Roman" w:hAnsi="Times New Roman"/>
            <w:color w:val="0000FF"/>
            <w:sz w:val="20"/>
            <w:szCs w:val="20"/>
          </w:rPr>
          <w:t>294 P. 717</w:t>
        </w:r>
      </w:hyperlink>
      <w:r>
        <w:rPr>
          <w:rFonts w:ascii="Times New Roman" w:hAnsi="Times New Roman"/>
          <w:color w:val="000000"/>
          <w:sz w:val="20"/>
          <w:szCs w:val="20"/>
        </w:rPr>
        <w:t>.</w:t>
      </w:r>
    </w:p>
    <w:p w14:paraId="4B8F1DE1"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 xml:space="preserve">It is not shown that the rule for proration prescribed in section 4 or any other provision here involved amounts to or authorizes arbitrary interference with private </w:t>
      </w:r>
      <w:r>
        <w:rPr>
          <w:rFonts w:ascii="Times New Roman" w:hAnsi="Times New Roman"/>
          <w:color w:val="000000"/>
          <w:sz w:val="20"/>
          <w:szCs w:val="20"/>
        </w:rPr>
        <w:t>business or plaintiff’s property rights, or that such statutory rule is not reasonably calculated to prevent the wastes specified in section 3.</w:t>
      </w:r>
    </w:p>
    <w:p w14:paraId="4C7A0D17"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hyperlink r:id="rId93" w:history="1">
        <w:r>
          <w:rPr>
            <w:rFonts w:ascii="Times New Roman" w:hAnsi="Times New Roman"/>
            <w:b/>
            <w:bCs/>
            <w:color w:val="252525"/>
            <w:sz w:val="20"/>
            <w:szCs w:val="20"/>
            <w:vertAlign w:val="superscript"/>
          </w:rPr>
          <w:t>[4]</w:t>
        </w:r>
      </w:hyperlink>
      <w:bookmarkStart w:id="110" w:name="co_anchor_B41932122515_1"/>
      <w:bookmarkEnd w:id="110"/>
      <w:r>
        <w:rPr>
          <w:rFonts w:ascii="Times New Roman" w:hAnsi="Times New Roman"/>
          <w:color w:val="000000"/>
          <w:sz w:val="20"/>
          <w:szCs w:val="20"/>
        </w:rPr>
        <w:t xml:space="preserve"> </w:t>
      </w:r>
      <w:hyperlink r:id="rId94" w:history="1">
        <w:r>
          <w:rPr>
            <w:rFonts w:ascii="Times New Roman" w:hAnsi="Times New Roman"/>
            <w:b/>
            <w:bCs/>
            <w:color w:val="252525"/>
            <w:sz w:val="20"/>
            <w:szCs w:val="20"/>
            <w:vertAlign w:val="superscript"/>
          </w:rPr>
          <w:t>[5]</w:t>
        </w:r>
      </w:hyperlink>
      <w:bookmarkStart w:id="111" w:name="co_anchor_B51932122515_1"/>
      <w:bookmarkEnd w:id="111"/>
      <w:r>
        <w:rPr>
          <w:rFonts w:ascii="Times New Roman" w:hAnsi="Times New Roman"/>
          <w:color w:val="000000"/>
          <w:sz w:val="20"/>
          <w:szCs w:val="20"/>
        </w:rPr>
        <w:t xml:space="preserve"> We put aside plaintiff’s contentions resting upon the claim that section 2 or section 3 authorizes or contemplates directly or indirectly regulation of prices of crude oil. The commi</w:t>
      </w:r>
      <w:r>
        <w:rPr>
          <w:rFonts w:ascii="Times New Roman" w:hAnsi="Times New Roman"/>
          <w:color w:val="000000"/>
          <w:sz w:val="20"/>
          <w:szCs w:val="20"/>
        </w:rPr>
        <w:t>ssion has never made an order under section 2. The court found that none of the proration orders here involved were made for the purpose of fixing prices. The fact that the commission never limited production below market demand and the great and long cont</w:t>
      </w:r>
      <w:r>
        <w:rPr>
          <w:rFonts w:ascii="Times New Roman" w:hAnsi="Times New Roman"/>
          <w:color w:val="000000"/>
          <w:sz w:val="20"/>
          <w:szCs w:val="20"/>
        </w:rPr>
        <w:t>inued downward trend of prices contemporaneously with the enforcement of proration strongly support the finding that the orders assailed have not had that effect. And if section 2 were to be held unconstitutional, the provisions on which the orders rest wo</w:t>
      </w:r>
      <w:r>
        <w:rPr>
          <w:rFonts w:ascii="Times New Roman" w:hAnsi="Times New Roman"/>
          <w:color w:val="000000"/>
          <w:sz w:val="20"/>
          <w:szCs w:val="20"/>
        </w:rPr>
        <w:t xml:space="preserve">uld </w:t>
      </w:r>
      <w:bookmarkStart w:id="112" w:name="co_pp_sp_708_565_1"/>
      <w:bookmarkEnd w:id="112"/>
      <w:r>
        <w:rPr>
          <w:rFonts w:ascii="Times New Roman" w:hAnsi="Times New Roman"/>
          <w:b/>
          <w:bCs/>
          <w:color w:val="000000"/>
          <w:sz w:val="20"/>
          <w:szCs w:val="20"/>
        </w:rPr>
        <w:t>**565</w:t>
      </w:r>
      <w:r>
        <w:rPr>
          <w:rFonts w:ascii="Times New Roman" w:hAnsi="Times New Roman"/>
          <w:color w:val="000000"/>
          <w:sz w:val="20"/>
          <w:szCs w:val="20"/>
        </w:rPr>
        <w:t xml:space="preserve"> remain in force. The unconstitutionality of a part of an act does not necessarily defeat or affect the validity of its </w:t>
      </w:r>
      <w:r>
        <w:rPr>
          <w:rFonts w:ascii="Times New Roman" w:hAnsi="Times New Roman"/>
          <w:color w:val="000000"/>
          <w:sz w:val="20"/>
          <w:szCs w:val="20"/>
        </w:rPr>
        <w:t>remaining provisions. Unless it is evident that the Legislature would not have enacted thos</w:t>
      </w:r>
      <w:r>
        <w:rPr>
          <w:rFonts w:ascii="Times New Roman" w:hAnsi="Times New Roman"/>
          <w:color w:val="000000"/>
          <w:sz w:val="20"/>
          <w:szCs w:val="20"/>
        </w:rPr>
        <w:t xml:space="preserve">e provisions which are within its power, independently of that which is not, the invalid part may be dropped if what is left is fully operative as a law. </w:t>
      </w:r>
      <w:hyperlink r:id="rId95" w:history="1">
        <w:r>
          <w:rPr>
            <w:rFonts w:ascii="Times New Roman" w:hAnsi="Times New Roman"/>
            <w:color w:val="0000FF"/>
            <w:sz w:val="20"/>
            <w:szCs w:val="20"/>
          </w:rPr>
          <w:t>Connolly v. Union Sewer Pipe Co., 184 U. S. 540, 565, 22 S. Ct. 431, 46 L. Ed. 679;</w:t>
        </w:r>
      </w:hyperlink>
      <w:r>
        <w:rPr>
          <w:rFonts w:ascii="Times New Roman" w:hAnsi="Times New Roman"/>
          <w:color w:val="000000"/>
          <w:sz w:val="20"/>
          <w:szCs w:val="20"/>
        </w:rPr>
        <w:t xml:space="preserve"> </w:t>
      </w:r>
      <w:bookmarkStart w:id="113" w:name="co_pp_sp_780_235_1"/>
      <w:bookmarkEnd w:id="113"/>
      <w:r>
        <w:rPr>
          <w:rFonts w:ascii="Times New Roman" w:hAnsi="Times New Roman"/>
          <w:b/>
          <w:bCs/>
          <w:color w:val="000000"/>
          <w:sz w:val="20"/>
          <w:szCs w:val="20"/>
        </w:rPr>
        <w:t>*235</w:t>
      </w:r>
      <w:r>
        <w:rPr>
          <w:rFonts w:ascii="Times New Roman" w:hAnsi="Times New Roman"/>
          <w:color w:val="000000"/>
          <w:sz w:val="20"/>
          <w:szCs w:val="20"/>
        </w:rPr>
        <w:t xml:space="preserve"> </w:t>
      </w:r>
      <w:hyperlink r:id="rId96" w:history="1">
        <w:r>
          <w:rPr>
            <w:rFonts w:ascii="Times New Roman" w:hAnsi="Times New Roman"/>
            <w:color w:val="0000FF"/>
            <w:sz w:val="20"/>
            <w:szCs w:val="20"/>
          </w:rPr>
          <w:t>Pollock v. Farmers’ Loan &amp; Trust Co., 158 U. S. 601, 635, 15 S. Ct. 912, 39 L. Ed. 1108;</w:t>
        </w:r>
      </w:hyperlink>
      <w:r>
        <w:rPr>
          <w:rFonts w:ascii="Times New Roman" w:hAnsi="Times New Roman"/>
          <w:color w:val="000000"/>
          <w:sz w:val="20"/>
          <w:szCs w:val="20"/>
        </w:rPr>
        <w:t xml:space="preserve"> </w:t>
      </w:r>
      <w:hyperlink r:id="rId97" w:history="1">
        <w:r>
          <w:rPr>
            <w:rFonts w:ascii="Times New Roman" w:hAnsi="Times New Roman"/>
            <w:color w:val="0000FF"/>
            <w:sz w:val="20"/>
            <w:szCs w:val="20"/>
          </w:rPr>
          <w:t>Reagan v. Farmers’ Loan &amp; Trust Co., 154 U. S. 362, 395, 396, 14 S. Ct. 1047, 38 L. Ed. 1014;</w:t>
        </w:r>
      </w:hyperlink>
      <w:r>
        <w:rPr>
          <w:rFonts w:ascii="Times New Roman" w:hAnsi="Times New Roman"/>
          <w:color w:val="000000"/>
          <w:sz w:val="20"/>
          <w:szCs w:val="20"/>
        </w:rPr>
        <w:t xml:space="preserve"> </w:t>
      </w:r>
      <w:hyperlink r:id="rId98" w:history="1">
        <w:r>
          <w:rPr>
            <w:rFonts w:ascii="Times New Roman" w:hAnsi="Times New Roman"/>
            <w:color w:val="0000FF"/>
            <w:sz w:val="20"/>
            <w:szCs w:val="20"/>
          </w:rPr>
          <w:t>Field v. Clark, 143 U. S. 649, 695, 696</w:t>
        </w:r>
      </w:hyperlink>
      <w:r>
        <w:rPr>
          <w:rFonts w:ascii="Times New Roman" w:hAnsi="Times New Roman"/>
          <w:color w:val="000000"/>
          <w:sz w:val="20"/>
          <w:szCs w:val="20"/>
        </w:rPr>
        <w:t>. Section 10 declares that the invalidity of any part of the act shall not in an</w:t>
      </w:r>
      <w:r>
        <w:rPr>
          <w:rFonts w:ascii="Times New Roman" w:hAnsi="Times New Roman"/>
          <w:color w:val="000000"/>
          <w:sz w:val="20"/>
          <w:szCs w:val="20"/>
        </w:rPr>
        <w:t>y manner affect the remaining portions. That discloses an intention to make the act divisible, and creates a presumption that, eliminating invalid parts, the Legislature would have been satisfied with what remained, and that the scheme of regulation deriva</w:t>
      </w:r>
      <w:r>
        <w:rPr>
          <w:rFonts w:ascii="Times New Roman" w:hAnsi="Times New Roman"/>
          <w:color w:val="000000"/>
          <w:sz w:val="20"/>
          <w:szCs w:val="20"/>
        </w:rPr>
        <w:t xml:space="preserve">ble from the other provisions would have been enacted without regard to section 2. </w:t>
      </w:r>
      <w:hyperlink r:id="rId99" w:history="1">
        <w:r>
          <w:rPr>
            <w:rFonts w:ascii="Times New Roman" w:hAnsi="Times New Roman"/>
            <w:color w:val="0000FF"/>
            <w:sz w:val="20"/>
            <w:szCs w:val="20"/>
          </w:rPr>
          <w:t>Williams v. Standard Oil Co., 278 U. S. 235, 242, 49 S. Ct. 115, 73 L. Ed. 287, 60 A. L. R. 596;</w:t>
        </w:r>
      </w:hyperlink>
      <w:r>
        <w:rPr>
          <w:rFonts w:ascii="Times New Roman" w:hAnsi="Times New Roman"/>
          <w:color w:val="000000"/>
          <w:sz w:val="20"/>
          <w:szCs w:val="20"/>
        </w:rPr>
        <w:t xml:space="preserve"> </w:t>
      </w:r>
      <w:hyperlink r:id="rId100" w:history="1">
        <w:r>
          <w:rPr>
            <w:rFonts w:ascii="Times New Roman" w:hAnsi="Times New Roman"/>
            <w:color w:val="0000FF"/>
            <w:sz w:val="20"/>
            <w:szCs w:val="20"/>
          </w:rPr>
          <w:t>Crowell v. Benson, 285 U. S. 22, 52 S. Ct. 285, 76 L. Ed. —;</w:t>
        </w:r>
      </w:hyperlink>
      <w:r>
        <w:rPr>
          <w:rFonts w:ascii="Times New Roman" w:hAnsi="Times New Roman"/>
          <w:color w:val="000000"/>
          <w:sz w:val="20"/>
          <w:szCs w:val="20"/>
        </w:rPr>
        <w:t xml:space="preserve"> </w:t>
      </w:r>
      <w:hyperlink r:id="rId101" w:history="1">
        <w:r>
          <w:rPr>
            <w:rFonts w:ascii="Times New Roman" w:hAnsi="Times New Roman"/>
            <w:color w:val="0000FF"/>
            <w:sz w:val="20"/>
            <w:szCs w:val="20"/>
          </w:rPr>
          <w:t>Utah Powe</w:t>
        </w:r>
        <w:r>
          <w:rPr>
            <w:rFonts w:ascii="Times New Roman" w:hAnsi="Times New Roman"/>
            <w:color w:val="0000FF"/>
            <w:sz w:val="20"/>
            <w:szCs w:val="20"/>
          </w:rPr>
          <w:t>r &amp; Light Co. v. Pfost, 286 U. S. 165, 52 S. Ct. 548, 76</w:t>
        </w:r>
      </w:hyperlink>
      <w:r>
        <w:rPr>
          <w:rFonts w:ascii="Times New Roman" w:hAnsi="Times New Roman"/>
          <w:color w:val="000000"/>
          <w:sz w:val="20"/>
          <w:szCs w:val="20"/>
        </w:rPr>
        <w:t xml:space="preserve"> L. Ed. </w:t>
      </w:r>
      <w:r>
        <w:rPr>
          <w:rFonts w:ascii="Times New Roman" w:hAnsi="Times New Roman"/>
          <w:color w:val="000000"/>
          <w:sz w:val="20"/>
          <w:szCs w:val="20"/>
        </w:rPr>
        <w:t>—</w:t>
      </w:r>
      <w:r>
        <w:rPr>
          <w:rFonts w:ascii="Times New Roman" w:hAnsi="Times New Roman"/>
          <w:color w:val="000000"/>
          <w:sz w:val="20"/>
          <w:szCs w:val="20"/>
        </w:rPr>
        <w:t>. The orders involved here were made under other sections which provide a complete scheme for carrying into effect, through action of the commission, the general rules laid down in section</w:t>
      </w:r>
      <w:r>
        <w:rPr>
          <w:rFonts w:ascii="Times New Roman" w:hAnsi="Times New Roman"/>
          <w:color w:val="000000"/>
          <w:sz w:val="20"/>
          <w:szCs w:val="20"/>
        </w:rPr>
        <w:t xml:space="preserve">s 3 and 4 for the prevention of waste. See </w:t>
      </w:r>
      <w:hyperlink r:id="rId102" w:history="1">
        <w:r>
          <w:rPr>
            <w:rFonts w:ascii="Times New Roman" w:hAnsi="Times New Roman"/>
            <w:color w:val="0000FF"/>
            <w:sz w:val="20"/>
            <w:szCs w:val="20"/>
          </w:rPr>
          <w:t>Julian Oil &amp; Royalties Co. v. Capshaw, 145 Okl. 237, 243, 292 P. 841.</w:t>
        </w:r>
      </w:hyperlink>
      <w:r>
        <w:rPr>
          <w:rFonts w:ascii="Times New Roman" w:hAnsi="Times New Roman"/>
          <w:color w:val="000000"/>
          <w:sz w:val="20"/>
          <w:szCs w:val="20"/>
        </w:rPr>
        <w:t xml:space="preserve"> The validity of section 2 need not be considered.</w:t>
      </w:r>
    </w:p>
    <w:p w14:paraId="015508B8"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r>
        <w:rPr>
          <w:rFonts w:ascii="Times New Roman" w:hAnsi="Times New Roman"/>
          <w:color w:val="000000"/>
          <w:sz w:val="20"/>
          <w:szCs w:val="20"/>
        </w:rPr>
        <w:t> </w:t>
      </w:r>
    </w:p>
    <w:p w14:paraId="363C3AC2"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hyperlink r:id="rId103" w:history="1">
        <w:r>
          <w:rPr>
            <w:rFonts w:ascii="Times New Roman" w:hAnsi="Times New Roman"/>
            <w:b/>
            <w:bCs/>
            <w:color w:val="252525"/>
            <w:sz w:val="20"/>
            <w:szCs w:val="20"/>
            <w:vertAlign w:val="superscript"/>
          </w:rPr>
          <w:t>[6]</w:t>
        </w:r>
      </w:hyperlink>
      <w:bookmarkStart w:id="114" w:name="co_anchor_B61932122515_1"/>
      <w:bookmarkEnd w:id="114"/>
      <w:r>
        <w:rPr>
          <w:rFonts w:ascii="Times New Roman" w:hAnsi="Times New Roman"/>
          <w:color w:val="000000"/>
          <w:sz w:val="20"/>
          <w:szCs w:val="20"/>
        </w:rPr>
        <w:t xml:space="preserve"> 2. Plaintiff contends that the act and proration orders operate to burden interstate commerce in crude oil and its products in violation of the commerce clause. </w:t>
      </w:r>
      <w:hyperlink r:id="rId104" w:history="1">
        <w:r>
          <w:rPr>
            <w:rFonts w:ascii="Times New Roman" w:hAnsi="Times New Roman"/>
            <w:color w:val="0000FF"/>
            <w:sz w:val="20"/>
            <w:szCs w:val="20"/>
          </w:rPr>
          <w:t>Const. U. S. art. 1, s 8, clause 3</w:t>
        </w:r>
      </w:hyperlink>
      <w:r>
        <w:rPr>
          <w:rFonts w:ascii="Times New Roman" w:hAnsi="Times New Roman"/>
          <w:color w:val="000000"/>
          <w:sz w:val="20"/>
          <w:szCs w:val="20"/>
        </w:rPr>
        <w:t>. It is clear that the regulations prescribed an</w:t>
      </w:r>
      <w:r>
        <w:rPr>
          <w:rFonts w:ascii="Times New Roman" w:hAnsi="Times New Roman"/>
          <w:color w:val="000000"/>
          <w:sz w:val="20"/>
          <w:szCs w:val="20"/>
        </w:rPr>
        <w:t>d authorized by the act and the proration established by the commission apply only to production and not to sales or transportation of crude oil or its products. Such production is essentially a mining operation, and therefore is not a part of interstate c</w:t>
      </w:r>
      <w:r>
        <w:rPr>
          <w:rFonts w:ascii="Times New Roman" w:hAnsi="Times New Roman"/>
          <w:color w:val="000000"/>
          <w:sz w:val="20"/>
          <w:szCs w:val="20"/>
        </w:rPr>
        <w:t xml:space="preserve">ommerce, even though the product obtained is intended to be and in fact is immediately shipped in such commerce. </w:t>
      </w:r>
      <w:hyperlink r:id="rId105" w:history="1">
        <w:r>
          <w:rPr>
            <w:rFonts w:ascii="Times New Roman" w:hAnsi="Times New Roman"/>
            <w:color w:val="0000FF"/>
            <w:sz w:val="20"/>
            <w:szCs w:val="20"/>
          </w:rPr>
          <w:t>Oliver Iron Co. v. Lord, 262 U. S. 172, 178, 43 S. Ct. 526, 67 L. Ed. 929;</w:t>
        </w:r>
      </w:hyperlink>
      <w:r>
        <w:rPr>
          <w:rFonts w:ascii="Times New Roman" w:hAnsi="Times New Roman"/>
          <w:color w:val="000000"/>
          <w:sz w:val="20"/>
          <w:szCs w:val="20"/>
        </w:rPr>
        <w:t xml:space="preserve"> </w:t>
      </w:r>
      <w:hyperlink r:id="rId106" w:history="1">
        <w:r>
          <w:rPr>
            <w:rFonts w:ascii="Times New Roman" w:hAnsi="Times New Roman"/>
            <w:color w:val="0000FF"/>
            <w:sz w:val="20"/>
            <w:szCs w:val="20"/>
          </w:rPr>
          <w:t>Hope Gas Co. v. Hall, 274 U. S. 284, 288, 47 S. Ct. 639, 71 L. Ed</w:t>
        </w:r>
        <w:r>
          <w:rPr>
            <w:rFonts w:ascii="Times New Roman" w:hAnsi="Times New Roman"/>
            <w:color w:val="0000FF"/>
            <w:sz w:val="20"/>
            <w:szCs w:val="20"/>
          </w:rPr>
          <w:t>. 1049;</w:t>
        </w:r>
      </w:hyperlink>
      <w:r>
        <w:rPr>
          <w:rFonts w:ascii="Times New Roman" w:hAnsi="Times New Roman"/>
          <w:color w:val="000000"/>
          <w:sz w:val="20"/>
          <w:szCs w:val="20"/>
        </w:rPr>
        <w:t xml:space="preserve"> </w:t>
      </w:r>
      <w:hyperlink r:id="rId107" w:history="1">
        <w:r>
          <w:rPr>
            <w:rFonts w:ascii="Times New Roman" w:hAnsi="Times New Roman"/>
            <w:color w:val="0000FF"/>
            <w:sz w:val="20"/>
            <w:szCs w:val="20"/>
          </w:rPr>
          <w:t>Foster-Fountain Packing Co. v. Haydel, 278 U. S. 1, 10, 49 S. Ct. 1, 73 L. Ed. 147;</w:t>
        </w:r>
      </w:hyperlink>
      <w:r>
        <w:rPr>
          <w:rFonts w:ascii="Times New Roman" w:hAnsi="Times New Roman"/>
          <w:color w:val="000000"/>
          <w:sz w:val="20"/>
          <w:szCs w:val="20"/>
        </w:rPr>
        <w:t xml:space="preserve"> Utah Power &amp; Light Co. v. Pfost, supra. No violation of the commerce clause is shown.</w:t>
      </w:r>
    </w:p>
    <w:p w14:paraId="3FA6FBFF"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r>
        <w:rPr>
          <w:rFonts w:ascii="Times New Roman" w:hAnsi="Times New Roman"/>
          <w:color w:val="000000"/>
          <w:sz w:val="20"/>
          <w:szCs w:val="20"/>
        </w:rPr>
        <w:t> </w:t>
      </w:r>
    </w:p>
    <w:p w14:paraId="041E2A93"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hyperlink r:id="rId108" w:history="1">
        <w:r>
          <w:rPr>
            <w:rFonts w:ascii="Times New Roman" w:hAnsi="Times New Roman"/>
            <w:b/>
            <w:bCs/>
            <w:color w:val="252525"/>
            <w:sz w:val="20"/>
            <w:szCs w:val="20"/>
            <w:vertAlign w:val="superscript"/>
          </w:rPr>
          <w:t>[7]</w:t>
        </w:r>
      </w:hyperlink>
      <w:bookmarkStart w:id="115" w:name="co_anchor_B71932122515_1"/>
      <w:bookmarkEnd w:id="115"/>
      <w:r>
        <w:rPr>
          <w:rFonts w:ascii="Times New Roman" w:hAnsi="Times New Roman"/>
          <w:color w:val="000000"/>
          <w:sz w:val="20"/>
          <w:szCs w:val="20"/>
        </w:rPr>
        <w:t xml:space="preserve"> </w:t>
      </w:r>
      <w:hyperlink r:id="rId109" w:history="1">
        <w:r>
          <w:rPr>
            <w:rFonts w:ascii="Times New Roman" w:hAnsi="Times New Roman"/>
            <w:b/>
            <w:bCs/>
            <w:color w:val="252525"/>
            <w:sz w:val="20"/>
            <w:szCs w:val="20"/>
            <w:vertAlign w:val="superscript"/>
          </w:rPr>
          <w:t>[8]</w:t>
        </w:r>
      </w:hyperlink>
      <w:bookmarkStart w:id="116" w:name="co_anchor_B81932122515_1"/>
      <w:bookmarkEnd w:id="116"/>
      <w:r>
        <w:rPr>
          <w:rFonts w:ascii="Times New Roman" w:hAnsi="Times New Roman"/>
          <w:color w:val="000000"/>
          <w:sz w:val="20"/>
          <w:szCs w:val="20"/>
        </w:rPr>
        <w:t xml:space="preserve"> 3. Plaintiff assails the proration orders as unauthorized, lacking basis in fact, and arbitrary. But it failed to show that the orders were </w:t>
      </w:r>
      <w:r>
        <w:rPr>
          <w:rFonts w:ascii="Times New Roman" w:hAnsi="Times New Roman"/>
          <w:color w:val="000000"/>
          <w:sz w:val="20"/>
          <w:szCs w:val="20"/>
        </w:rPr>
        <w:t xml:space="preserve">not based upon just and reasonable </w:t>
      </w:r>
      <w:bookmarkStart w:id="117" w:name="co_pp_sp_780_236_1"/>
      <w:bookmarkEnd w:id="117"/>
      <w:r>
        <w:rPr>
          <w:rFonts w:ascii="Times New Roman" w:hAnsi="Times New Roman"/>
          <w:b/>
          <w:bCs/>
          <w:color w:val="000000"/>
          <w:sz w:val="20"/>
          <w:szCs w:val="20"/>
        </w:rPr>
        <w:t>*236</w:t>
      </w:r>
      <w:r>
        <w:rPr>
          <w:rFonts w:ascii="Times New Roman" w:hAnsi="Times New Roman"/>
          <w:color w:val="000000"/>
          <w:sz w:val="20"/>
          <w:szCs w:val="20"/>
        </w:rPr>
        <w:t xml:space="preserve"> determinations of the governing facts; namely, that proportion of all crude oil, which may </w:t>
      </w:r>
      <w:r>
        <w:rPr>
          <w:rFonts w:ascii="Times New Roman" w:hAnsi="Times New Roman"/>
          <w:color w:val="000000"/>
          <w:sz w:val="20"/>
          <w:szCs w:val="20"/>
        </w:rPr>
        <w:lastRenderedPageBreak/>
        <w:t xml:space="preserve">be produced from a common source without waste, that the production of plaintiff’s wells </w:t>
      </w:r>
      <w:r>
        <w:rPr>
          <w:rFonts w:ascii="Times New Roman" w:hAnsi="Times New Roman"/>
          <w:color w:val="000000"/>
          <w:sz w:val="20"/>
          <w:szCs w:val="20"/>
        </w:rPr>
        <w:t>bears to the total production from such source. Gauges were taken to determine the potential production of each well under rules and regulations prescribed by the commission and not shown to be inappropriate or liable to produce arbitrary or discriminatory</w:t>
      </w:r>
      <w:r>
        <w:rPr>
          <w:rFonts w:ascii="Times New Roman" w:hAnsi="Times New Roman"/>
          <w:color w:val="000000"/>
          <w:sz w:val="20"/>
          <w:szCs w:val="20"/>
        </w:rPr>
        <w:t xml:space="preserve"> results. It does not appear that the agents, umpires and committees, employed by the commission with the consent of the Governor, to enforce the provisions of the act, did more than to make investigations necessary to secure for the commission data requir</w:t>
      </w:r>
      <w:r>
        <w:rPr>
          <w:rFonts w:ascii="Times New Roman" w:hAnsi="Times New Roman"/>
          <w:color w:val="000000"/>
          <w:sz w:val="20"/>
          <w:szCs w:val="20"/>
        </w:rPr>
        <w:t>ed to make the proration directed by section 4, or that they acted otherwise than as faithful subordinates. Plaintiff has not shown that any act or omission of these agents subjected it to any disadvantage, or that the prorations were arbitrary or discrimi</w:t>
      </w:r>
      <w:r>
        <w:rPr>
          <w:rFonts w:ascii="Times New Roman" w:hAnsi="Times New Roman"/>
          <w:color w:val="000000"/>
          <w:sz w:val="20"/>
          <w:szCs w:val="20"/>
        </w:rPr>
        <w:t>natory in any respect. Obviously the commission, without agents and employees, could not make or enforce proration as directed by the act. The plaintiff is not entitled to have the commission’s orders set at naught and the purposes of the act thwarted mere</w:t>
      </w:r>
      <w:r>
        <w:rPr>
          <w:rFonts w:ascii="Times New Roman" w:hAnsi="Times New Roman"/>
          <w:color w:val="000000"/>
          <w:sz w:val="20"/>
          <w:szCs w:val="20"/>
        </w:rPr>
        <w:t>ly because, in the absence of legislative appropriations therefor, the salaries and expenses of agents or employees were paid out of funds raised by operators interested in having proration established under the statutory rule.</w:t>
      </w:r>
    </w:p>
    <w:p w14:paraId="14540114"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r>
        <w:rPr>
          <w:rFonts w:ascii="Times New Roman" w:hAnsi="Times New Roman"/>
          <w:color w:val="000000"/>
          <w:sz w:val="20"/>
          <w:szCs w:val="20"/>
        </w:rPr>
        <w:t> </w:t>
      </w:r>
    </w:p>
    <w:p w14:paraId="75BA0E2A"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Proration, required to pre</w:t>
      </w:r>
      <w:r>
        <w:rPr>
          <w:rFonts w:ascii="Times New Roman" w:hAnsi="Times New Roman"/>
          <w:color w:val="000000"/>
          <w:sz w:val="20"/>
          <w:szCs w:val="20"/>
        </w:rPr>
        <w:t xml:space="preserve">vent waste defined in sectiion 3 and to give effect to the rule prescribed by section 4, changes according to conditions existing from time to time and percentages valid at one time may be inapplicable, unjust, and arbitrary at another. </w:t>
      </w:r>
      <w:hyperlink r:id="rId110" w:history="1">
        <w:r>
          <w:rPr>
            <w:rFonts w:ascii="Times New Roman" w:hAnsi="Times New Roman"/>
            <w:color w:val="0000FF"/>
            <w:sz w:val="20"/>
            <w:szCs w:val="20"/>
          </w:rPr>
          <w:t>Bluefield Co. v. Public Service Comm., 262 U. S. 679, 693,</w:t>
        </w:r>
      </w:hyperlink>
      <w:r>
        <w:rPr>
          <w:rFonts w:ascii="Times New Roman" w:hAnsi="Times New Roman"/>
          <w:color w:val="000000"/>
          <w:sz w:val="20"/>
          <w:szCs w:val="20"/>
        </w:rPr>
        <w:t xml:space="preserve"> </w:t>
      </w:r>
      <w:hyperlink r:id="rId111" w:history="1">
        <w:r>
          <w:rPr>
            <w:rFonts w:ascii="Times New Roman" w:hAnsi="Times New Roman"/>
            <w:color w:val="0000FF"/>
            <w:sz w:val="20"/>
            <w:szCs w:val="20"/>
          </w:rPr>
          <w:t>43 S. Ct. 675, 67 L. Ed. 1176;</w:t>
        </w:r>
      </w:hyperlink>
      <w:r>
        <w:rPr>
          <w:rFonts w:ascii="Times New Roman" w:hAnsi="Times New Roman"/>
          <w:color w:val="000000"/>
          <w:sz w:val="20"/>
          <w:szCs w:val="20"/>
        </w:rPr>
        <w:t xml:space="preserve"> </w:t>
      </w:r>
      <w:hyperlink r:id="rId112" w:history="1">
        <w:r>
          <w:rPr>
            <w:rFonts w:ascii="Times New Roman" w:hAnsi="Times New Roman"/>
            <w:color w:val="0000FF"/>
            <w:sz w:val="20"/>
            <w:szCs w:val="20"/>
          </w:rPr>
          <w:t>Knoxville v. Water Co., 212 U. S. 1, 19, 29 S. Ct. 148, 53 L. Ed. 371.</w:t>
        </w:r>
      </w:hyperlink>
      <w:r>
        <w:rPr>
          <w:rFonts w:ascii="Times New Roman" w:hAnsi="Times New Roman"/>
          <w:color w:val="000000"/>
          <w:sz w:val="20"/>
          <w:szCs w:val="20"/>
        </w:rPr>
        <w:t xml:space="preserve"> As plaintiff has failed to prove that any order in force at the time</w:t>
      </w:r>
      <w:r>
        <w:rPr>
          <w:rFonts w:ascii="Times New Roman" w:hAnsi="Times New Roman"/>
          <w:color w:val="000000"/>
          <w:sz w:val="20"/>
          <w:szCs w:val="20"/>
        </w:rPr>
        <w:t xml:space="preserve"> of the trial was not in accordance with the rule prescribed by section 4 or otherwise invalid, the part of the decree from which it appealed will be affirmed. But </w:t>
      </w:r>
      <w:bookmarkStart w:id="118" w:name="co_pp_sp_780_237_1"/>
      <w:bookmarkEnd w:id="118"/>
      <w:r>
        <w:rPr>
          <w:rFonts w:ascii="Times New Roman" w:hAnsi="Times New Roman"/>
          <w:b/>
          <w:bCs/>
          <w:color w:val="000000"/>
          <w:sz w:val="20"/>
          <w:szCs w:val="20"/>
        </w:rPr>
        <w:t>*237</w:t>
      </w:r>
      <w:r>
        <w:rPr>
          <w:rFonts w:ascii="Times New Roman" w:hAnsi="Times New Roman"/>
          <w:color w:val="000000"/>
          <w:sz w:val="20"/>
          <w:szCs w:val="20"/>
        </w:rPr>
        <w:t xml:space="preserve"> such affirmance will not prevent it in an appropria</w:t>
      </w:r>
      <w:r>
        <w:rPr>
          <w:rFonts w:ascii="Times New Roman" w:hAnsi="Times New Roman"/>
          <w:color w:val="000000"/>
          <w:sz w:val="20"/>
          <w:szCs w:val="20"/>
        </w:rPr>
        <w:t xml:space="preserve">te suit, a different state of facts being shown to exist, from having an injunction to restrain the enforcement of any order proved to be not authorized by the act or unjust and arbitrary and to operate to plaintiff’s prejudice. Cf. </w:t>
      </w:r>
      <w:hyperlink r:id="rId113" w:history="1">
        <w:r>
          <w:rPr>
            <w:rFonts w:ascii="Times New Roman" w:hAnsi="Times New Roman"/>
            <w:color w:val="0000FF"/>
            <w:sz w:val="20"/>
            <w:szCs w:val="20"/>
          </w:rPr>
          <w:t>Village of Euclid, Ohio</w:t>
        </w:r>
        <w:r>
          <w:rPr>
            <w:rFonts w:ascii="Times New Roman" w:hAnsi="Times New Roman"/>
            <w:color w:val="0000FF"/>
            <w:sz w:val="20"/>
            <w:szCs w:val="20"/>
          </w:rPr>
          <w:t>, v. Ambler Co., 272 U. S. 365, 395, 47 S. Ct. 114, 71 L. Ed. 303, 54 A. L. R. 1016</w:t>
        </w:r>
      </w:hyperlink>
      <w:r>
        <w:rPr>
          <w:rFonts w:ascii="Times New Roman" w:hAnsi="Times New Roman"/>
          <w:color w:val="000000"/>
          <w:sz w:val="20"/>
          <w:szCs w:val="20"/>
        </w:rPr>
        <w:t>.</w:t>
      </w:r>
    </w:p>
    <w:p w14:paraId="7DBE6068"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p>
    <w:p w14:paraId="0B857F6E"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bookmarkStart w:id="119" w:name="co_anchor_I4bc6b01c8bcd11ea80afece799150"/>
      <w:bookmarkEnd w:id="119"/>
    </w:p>
    <w:p w14:paraId="1B764600" w14:textId="77777777" w:rsidR="00000000" w:rsidRDefault="00896AE4">
      <w:pPr>
        <w:widowControl w:val="0"/>
        <w:autoSpaceDE w:val="0"/>
        <w:autoSpaceDN w:val="0"/>
        <w:adjustRightInd w:val="0"/>
        <w:spacing w:before="600" w:after="200" w:line="240" w:lineRule="auto"/>
        <w:jc w:val="center"/>
        <w:rPr>
          <w:rFonts w:ascii="Times New Roman" w:hAnsi="Times New Roman"/>
          <w:color w:val="000000"/>
          <w:sz w:val="20"/>
          <w:szCs w:val="20"/>
        </w:rPr>
      </w:pPr>
      <w:r>
        <w:rPr>
          <w:rFonts w:ascii="Times New Roman" w:hAnsi="Times New Roman"/>
          <w:color w:val="000000"/>
          <w:sz w:val="20"/>
          <w:szCs w:val="20"/>
        </w:rPr>
        <w:t>No. 48</w:t>
      </w:r>
      <w:r>
        <w:rPr>
          <w:rFonts w:ascii="Times New Roman" w:hAnsi="Times New Roman"/>
          <w:color w:val="000000"/>
          <w:sz w:val="20"/>
          <w:szCs w:val="20"/>
        </w:rPr>
        <w:t>6.</w:t>
      </w:r>
    </w:p>
    <w:p w14:paraId="236839D4"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 xml:space="preserve">This is defendant’s appeal from that part of the final </w:t>
      </w:r>
      <w:r>
        <w:rPr>
          <w:rFonts w:ascii="Times New Roman" w:hAnsi="Times New Roman"/>
          <w:color w:val="000000"/>
          <w:sz w:val="20"/>
          <w:szCs w:val="20"/>
        </w:rPr>
        <w:t xml:space="preserve">decree that declares that sections 8 and 9 are not valid, and enjoins the Attorney General and county attorney from enforcing them. In its conclusions of law the </w:t>
      </w:r>
      <w:bookmarkStart w:id="120" w:name="co_pp_sp_708_566_1"/>
      <w:bookmarkEnd w:id="120"/>
      <w:r>
        <w:rPr>
          <w:rFonts w:ascii="Times New Roman" w:hAnsi="Times New Roman"/>
          <w:b/>
          <w:bCs/>
          <w:color w:val="000000"/>
          <w:sz w:val="20"/>
          <w:szCs w:val="20"/>
        </w:rPr>
        <w:t>**566</w:t>
      </w:r>
      <w:r>
        <w:rPr>
          <w:rFonts w:ascii="Times New Roman" w:hAnsi="Times New Roman"/>
          <w:color w:val="000000"/>
          <w:sz w:val="20"/>
          <w:szCs w:val="20"/>
        </w:rPr>
        <w:t xml:space="preserve"> court below declares that these sections in terms impose penalties for violation of the act, and not for violation of the orders of the commission; that sections 1, 3, 4, 5, and 6 are too indefinite and uncertain to warrant the imposition of the pres</w:t>
      </w:r>
      <w:r>
        <w:rPr>
          <w:rFonts w:ascii="Times New Roman" w:hAnsi="Times New Roman"/>
          <w:color w:val="000000"/>
          <w:sz w:val="20"/>
          <w:szCs w:val="20"/>
        </w:rPr>
        <w:t>cribed penalties, and that therefore both sections are invalid. The opinion points out that the act is a penal statute and also a regulatory measure to be supplemented by rules, regulations, and orders of the commission. It suggests that an operator or pro</w:t>
      </w:r>
      <w:r>
        <w:rPr>
          <w:rFonts w:ascii="Times New Roman" w:hAnsi="Times New Roman"/>
          <w:color w:val="000000"/>
          <w:sz w:val="20"/>
          <w:szCs w:val="20"/>
        </w:rPr>
        <w:t xml:space="preserve">ducer of oil from a common pool should not be required at the peril of severe penalties to determine whether in the operation of his oil well he is committing </w:t>
      </w:r>
      <w:r>
        <w:rPr>
          <w:rFonts w:ascii="Times New Roman" w:hAnsi="Times New Roman"/>
          <w:color w:val="000000"/>
          <w:sz w:val="20"/>
          <w:szCs w:val="20"/>
        </w:rPr>
        <w:t>‘</w:t>
      </w:r>
      <w:r>
        <w:rPr>
          <w:rFonts w:ascii="Times New Roman" w:hAnsi="Times New Roman"/>
          <w:color w:val="000000"/>
          <w:sz w:val="20"/>
          <w:szCs w:val="20"/>
        </w:rPr>
        <w:t>economic waste</w:t>
      </w:r>
      <w:r>
        <w:rPr>
          <w:rFonts w:ascii="Times New Roman" w:hAnsi="Times New Roman"/>
          <w:color w:val="000000"/>
          <w:sz w:val="20"/>
          <w:szCs w:val="20"/>
        </w:rPr>
        <w:t>’</w:t>
      </w:r>
      <w:r>
        <w:rPr>
          <w:rFonts w:ascii="Times New Roman" w:hAnsi="Times New Roman"/>
          <w:color w:val="000000"/>
          <w:sz w:val="20"/>
          <w:szCs w:val="20"/>
        </w:rPr>
        <w:t xml:space="preserve"> or producing in excess of the </w:t>
      </w:r>
      <w:r>
        <w:rPr>
          <w:rFonts w:ascii="Times New Roman" w:hAnsi="Times New Roman"/>
          <w:color w:val="000000"/>
          <w:sz w:val="20"/>
          <w:szCs w:val="20"/>
        </w:rPr>
        <w:t>‘</w:t>
      </w:r>
      <w:r>
        <w:rPr>
          <w:rFonts w:ascii="Times New Roman" w:hAnsi="Times New Roman"/>
          <w:color w:val="000000"/>
          <w:sz w:val="20"/>
          <w:szCs w:val="20"/>
        </w:rPr>
        <w:t>reasonable market demands,</w:t>
      </w:r>
      <w:r>
        <w:rPr>
          <w:rFonts w:ascii="Times New Roman" w:hAnsi="Times New Roman"/>
          <w:color w:val="000000"/>
          <w:sz w:val="20"/>
          <w:szCs w:val="20"/>
        </w:rPr>
        <w:t>’</w:t>
      </w:r>
      <w:r>
        <w:rPr>
          <w:rFonts w:ascii="Times New Roman" w:hAnsi="Times New Roman"/>
          <w:color w:val="000000"/>
          <w:sz w:val="20"/>
          <w:szCs w:val="20"/>
        </w:rPr>
        <w:t xml:space="preserve"> because these terms a</w:t>
      </w:r>
      <w:r>
        <w:rPr>
          <w:rFonts w:ascii="Times New Roman" w:hAnsi="Times New Roman"/>
          <w:color w:val="000000"/>
          <w:sz w:val="20"/>
          <w:szCs w:val="20"/>
        </w:rPr>
        <w:t>re not defined in the act and are of uncertain and doubtful meaning.</w:t>
      </w:r>
    </w:p>
    <w:p w14:paraId="707F4CF5"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hyperlink r:id="rId114" w:history="1">
        <w:r>
          <w:rPr>
            <w:rFonts w:ascii="Times New Roman" w:hAnsi="Times New Roman"/>
            <w:b/>
            <w:bCs/>
            <w:color w:val="252525"/>
            <w:sz w:val="20"/>
            <w:szCs w:val="20"/>
            <w:vertAlign w:val="superscript"/>
          </w:rPr>
          <w:t>[9]</w:t>
        </w:r>
      </w:hyperlink>
      <w:bookmarkStart w:id="121" w:name="co_anchor_B91932122515_1"/>
      <w:bookmarkEnd w:id="121"/>
      <w:r>
        <w:rPr>
          <w:rFonts w:ascii="Times New Roman" w:hAnsi="Times New Roman"/>
          <w:color w:val="000000"/>
          <w:sz w:val="20"/>
          <w:szCs w:val="20"/>
        </w:rPr>
        <w:t xml:space="preserve"> </w:t>
      </w:r>
      <w:hyperlink r:id="rId115" w:history="1">
        <w:r>
          <w:rPr>
            <w:rFonts w:ascii="Times New Roman" w:hAnsi="Times New Roman"/>
            <w:b/>
            <w:bCs/>
            <w:color w:val="252525"/>
            <w:sz w:val="20"/>
            <w:szCs w:val="20"/>
            <w:vertAlign w:val="superscript"/>
          </w:rPr>
          <w:t>[10]</w:t>
        </w:r>
      </w:hyperlink>
      <w:bookmarkStart w:id="122" w:name="co_anchor_B101932122515_1"/>
      <w:bookmarkEnd w:id="122"/>
      <w:r>
        <w:rPr>
          <w:rFonts w:ascii="Times New Roman" w:hAnsi="Times New Roman"/>
          <w:color w:val="000000"/>
          <w:sz w:val="20"/>
          <w:szCs w:val="20"/>
        </w:rPr>
        <w:t xml:space="preserve"> </w:t>
      </w:r>
      <w:hyperlink r:id="rId116" w:history="1">
        <w:r>
          <w:rPr>
            <w:rFonts w:ascii="Times New Roman" w:hAnsi="Times New Roman"/>
            <w:b/>
            <w:bCs/>
            <w:color w:val="252525"/>
            <w:sz w:val="20"/>
            <w:szCs w:val="20"/>
            <w:vertAlign w:val="superscript"/>
          </w:rPr>
          <w:t>[11]</w:t>
        </w:r>
      </w:hyperlink>
      <w:bookmarkStart w:id="123" w:name="co_anchor_B111932122515_1"/>
      <w:bookmarkEnd w:id="123"/>
      <w:r>
        <w:rPr>
          <w:rFonts w:ascii="Times New Roman" w:hAnsi="Times New Roman"/>
          <w:color w:val="000000"/>
          <w:sz w:val="20"/>
          <w:szCs w:val="20"/>
        </w:rPr>
        <w:t xml:space="preserve"> </w:t>
      </w:r>
      <w:hyperlink r:id="rId117" w:history="1">
        <w:r>
          <w:rPr>
            <w:rFonts w:ascii="Times New Roman" w:hAnsi="Times New Roman"/>
            <w:b/>
            <w:bCs/>
            <w:color w:val="252525"/>
            <w:sz w:val="20"/>
            <w:szCs w:val="20"/>
            <w:vertAlign w:val="superscript"/>
          </w:rPr>
          <w:t>[12]</w:t>
        </w:r>
      </w:hyperlink>
      <w:bookmarkStart w:id="124" w:name="co_anchor_B121932122515_1"/>
      <w:bookmarkEnd w:id="124"/>
      <w:r>
        <w:rPr>
          <w:rFonts w:ascii="Times New Roman" w:hAnsi="Times New Roman"/>
          <w:color w:val="000000"/>
          <w:sz w:val="20"/>
          <w:szCs w:val="20"/>
        </w:rPr>
        <w:t xml:space="preserve"> 1. Defendan</w:t>
      </w:r>
      <w:r>
        <w:rPr>
          <w:rFonts w:ascii="Times New Roman" w:hAnsi="Times New Roman"/>
          <w:color w:val="000000"/>
          <w:sz w:val="20"/>
          <w:szCs w:val="20"/>
        </w:rPr>
        <w:t>ts insist that no question concerning the validity of section 8 was before the court.</w:t>
      </w:r>
    </w:p>
    <w:p w14:paraId="5EB85620"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r>
        <w:rPr>
          <w:rFonts w:ascii="Times New Roman" w:hAnsi="Times New Roman"/>
          <w:color w:val="000000"/>
          <w:sz w:val="20"/>
          <w:szCs w:val="20"/>
        </w:rPr>
        <w:t> </w:t>
      </w:r>
    </w:p>
    <w:p w14:paraId="60CD0508"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We do not find any direct or definite allegation in the record that defendants have threatened or are about to cause plaintiff to be prosecuted under section 8. The cou</w:t>
      </w:r>
      <w:r>
        <w:rPr>
          <w:rFonts w:ascii="Times New Roman" w:hAnsi="Times New Roman"/>
          <w:color w:val="000000"/>
          <w:sz w:val="20"/>
          <w:szCs w:val="20"/>
        </w:rPr>
        <w:t xml:space="preserve">rt found that no prosecution had been commenced against plaintiff, its officers, or employees, under that section. There is no finding, or evidence sufficient to require one, that any such prosecution was imminent or contemplated. </w:t>
      </w:r>
      <w:bookmarkStart w:id="125" w:name="co_pp_sp_780_238_1"/>
      <w:bookmarkEnd w:id="125"/>
      <w:r>
        <w:rPr>
          <w:rFonts w:ascii="Times New Roman" w:hAnsi="Times New Roman"/>
          <w:b/>
          <w:bCs/>
          <w:color w:val="000000"/>
          <w:sz w:val="20"/>
          <w:szCs w:val="20"/>
        </w:rPr>
        <w:t>*238</w:t>
      </w:r>
      <w:r>
        <w:rPr>
          <w:rFonts w:ascii="Times New Roman" w:hAnsi="Times New Roman"/>
          <w:color w:val="000000"/>
          <w:sz w:val="20"/>
          <w:szCs w:val="20"/>
        </w:rPr>
        <w:t xml:space="preserve"> And the opinion states, in substance, that section 9 was the only provision of the act as a penal statute that was before the court.</w:t>
      </w:r>
    </w:p>
    <w:p w14:paraId="3446E3F7"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Equity jurisdiction will be exercised to enjoin the threatened enforcement of a state law which contravenes</w:t>
      </w:r>
      <w:r>
        <w:rPr>
          <w:rFonts w:ascii="Times New Roman" w:hAnsi="Times New Roman"/>
          <w:color w:val="000000"/>
          <w:sz w:val="20"/>
          <w:szCs w:val="20"/>
        </w:rPr>
        <w:t xml:space="preserve"> the Federal Constitution whenever it is essential in order effectually to protect property rights and the rights of persons against injuries otherwise irremediable; and in such a case a person, who as an officer of the state is clothed with the duty of en</w:t>
      </w:r>
      <w:r>
        <w:rPr>
          <w:rFonts w:ascii="Times New Roman" w:hAnsi="Times New Roman"/>
          <w:color w:val="000000"/>
          <w:sz w:val="20"/>
          <w:szCs w:val="20"/>
        </w:rPr>
        <w:t xml:space="preserve">forcing its laws and who threatens and is about to commence proceedings, either civil or criminal, to enforce such a law against parties affected, may be enjoined from such action by a federal court of equity. </w:t>
      </w:r>
      <w:hyperlink r:id="rId118" w:history="1">
        <w:r>
          <w:rPr>
            <w:rFonts w:ascii="Times New Roman" w:hAnsi="Times New Roman"/>
            <w:color w:val="0000FF"/>
            <w:sz w:val="20"/>
            <w:szCs w:val="20"/>
          </w:rPr>
          <w:t>Terrace v. Thompson, 263 U. S. 197, 214, 44 S.</w:t>
        </w:r>
        <w:r>
          <w:rPr>
            <w:rFonts w:ascii="Times New Roman" w:hAnsi="Times New Roman"/>
            <w:color w:val="0000FF"/>
            <w:sz w:val="20"/>
            <w:szCs w:val="20"/>
          </w:rPr>
          <w:t xml:space="preserve"> Ct. 15, 68 L. Ed. 255,</w:t>
        </w:r>
      </w:hyperlink>
      <w:r>
        <w:rPr>
          <w:rFonts w:ascii="Times New Roman" w:hAnsi="Times New Roman"/>
          <w:color w:val="000000"/>
          <w:sz w:val="20"/>
          <w:szCs w:val="20"/>
        </w:rPr>
        <w:t xml:space="preserve"> and cases cited. The burden was upon plaintiff seeking to invoke that rule definitely to show that, in order to protect its property rights, it was necessary to restrain defendants from enforcing section 8. Indeed the record befo</w:t>
      </w:r>
      <w:r>
        <w:rPr>
          <w:rFonts w:ascii="Times New Roman" w:hAnsi="Times New Roman"/>
          <w:color w:val="000000"/>
          <w:sz w:val="20"/>
          <w:szCs w:val="20"/>
        </w:rPr>
        <w:t xml:space="preserve">re us indicates that plaintiff did not show that its rights were directly affected by any danger of prosecution under section 8, and therefore had no standing to invoke equity jurisdiction against its enforcement. </w:t>
      </w:r>
      <w:hyperlink r:id="rId119" w:history="1">
        <w:r>
          <w:rPr>
            <w:rFonts w:ascii="Times New Roman" w:hAnsi="Times New Roman"/>
            <w:color w:val="0000FF"/>
            <w:sz w:val="20"/>
            <w:szCs w:val="20"/>
          </w:rPr>
          <w:t xml:space="preserve">Oliver Iron Co. v. Lord, supra, 262 U. S. </w:t>
        </w:r>
        <w:r>
          <w:rPr>
            <w:rFonts w:ascii="Times New Roman" w:hAnsi="Times New Roman"/>
            <w:color w:val="0000FF"/>
            <w:sz w:val="20"/>
            <w:szCs w:val="20"/>
          </w:rPr>
          <w:t>180, 181, 43 S. Ct. 526, 67 L. Ed. 929;</w:t>
        </w:r>
      </w:hyperlink>
      <w:r>
        <w:rPr>
          <w:rFonts w:ascii="Times New Roman" w:hAnsi="Times New Roman"/>
          <w:color w:val="000000"/>
          <w:sz w:val="20"/>
          <w:szCs w:val="20"/>
        </w:rPr>
        <w:t xml:space="preserve"> </w:t>
      </w:r>
      <w:hyperlink r:id="rId120" w:history="1">
        <w:r>
          <w:rPr>
            <w:rFonts w:ascii="Times New Roman" w:hAnsi="Times New Roman"/>
            <w:color w:val="0000FF"/>
            <w:sz w:val="20"/>
            <w:szCs w:val="20"/>
          </w:rPr>
          <w:t xml:space="preserve">Massachusetts v. Mellon, 262 U. S. 447, 488, 43 S. Ct. 597, 67 L. Ed. </w:t>
        </w:r>
        <w:r>
          <w:rPr>
            <w:rFonts w:ascii="Times New Roman" w:hAnsi="Times New Roman"/>
            <w:color w:val="0000FF"/>
            <w:sz w:val="20"/>
            <w:szCs w:val="20"/>
          </w:rPr>
          <w:lastRenderedPageBreak/>
          <w:t>1078;</w:t>
        </w:r>
      </w:hyperlink>
      <w:r>
        <w:rPr>
          <w:rFonts w:ascii="Times New Roman" w:hAnsi="Times New Roman"/>
          <w:color w:val="000000"/>
          <w:sz w:val="20"/>
          <w:szCs w:val="20"/>
        </w:rPr>
        <w:t xml:space="preserve"> </w:t>
      </w:r>
      <w:hyperlink r:id="rId121" w:history="1">
        <w:r>
          <w:rPr>
            <w:rFonts w:ascii="Times New Roman" w:hAnsi="Times New Roman"/>
            <w:color w:val="0000FF"/>
            <w:sz w:val="20"/>
            <w:szCs w:val="20"/>
          </w:rPr>
          <w:t>AEtna Insurance Co. v. Hyde, 275 U. S. 440, 446</w:t>
        </w:r>
      </w:hyperlink>
      <w:r>
        <w:rPr>
          <w:rFonts w:ascii="Times New Roman" w:hAnsi="Times New Roman"/>
          <w:color w:val="000000"/>
          <w:sz w:val="20"/>
          <w:szCs w:val="20"/>
        </w:rPr>
        <w:t xml:space="preserve"> et seq., </w:t>
      </w:r>
      <w:hyperlink r:id="rId122" w:history="1">
        <w:r>
          <w:rPr>
            <w:rFonts w:ascii="Times New Roman" w:hAnsi="Times New Roman"/>
            <w:color w:val="0000FF"/>
            <w:sz w:val="20"/>
            <w:szCs w:val="20"/>
          </w:rPr>
          <w:t>48 S. Ct. 174, 72 L. Ed. 357.</w:t>
        </w:r>
      </w:hyperlink>
      <w:r>
        <w:rPr>
          <w:rFonts w:ascii="Times New Roman" w:hAnsi="Times New Roman"/>
          <w:color w:val="000000"/>
          <w:sz w:val="20"/>
          <w:szCs w:val="20"/>
        </w:rPr>
        <w:t xml:space="preserve"> Undo</w:t>
      </w:r>
      <w:r>
        <w:rPr>
          <w:rFonts w:ascii="Times New Roman" w:hAnsi="Times New Roman"/>
          <w:color w:val="000000"/>
          <w:sz w:val="20"/>
          <w:szCs w:val="20"/>
        </w:rPr>
        <w:t xml:space="preserve">ubtedly section 8, if invalid, may be severed from other parts of the act without affecting the provisions under which the prorations were made. </w:t>
      </w:r>
      <w:hyperlink r:id="rId123" w:history="1">
        <w:r>
          <w:rPr>
            <w:rFonts w:ascii="Times New Roman" w:hAnsi="Times New Roman"/>
            <w:color w:val="0000FF"/>
            <w:sz w:val="20"/>
            <w:szCs w:val="20"/>
          </w:rPr>
          <w:t>Ohio Tax Cases, 232 U. S. 576, 594, 34 S. Ct. 372, 58 L. Ed. 737.</w:t>
        </w:r>
      </w:hyperlink>
      <w:r>
        <w:rPr>
          <w:rFonts w:ascii="Times New Roman" w:hAnsi="Times New Roman"/>
          <w:color w:val="000000"/>
          <w:sz w:val="20"/>
          <w:szCs w:val="20"/>
        </w:rPr>
        <w:t xml:space="preserve"> It follows that the lower court erred in p</w:t>
      </w:r>
      <w:r>
        <w:rPr>
          <w:rFonts w:ascii="Times New Roman" w:hAnsi="Times New Roman"/>
          <w:color w:val="000000"/>
          <w:sz w:val="20"/>
          <w:szCs w:val="20"/>
        </w:rPr>
        <w:t>assing upon the validity of that section, and the decree will be modified to declare that no question as to section 8 was before the court.</w:t>
      </w:r>
    </w:p>
    <w:p w14:paraId="1EA44F54"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hyperlink r:id="rId124" w:history="1">
        <w:r>
          <w:rPr>
            <w:rFonts w:ascii="Times New Roman" w:hAnsi="Times New Roman"/>
            <w:b/>
            <w:bCs/>
            <w:color w:val="252525"/>
            <w:sz w:val="20"/>
            <w:szCs w:val="20"/>
            <w:vertAlign w:val="superscript"/>
          </w:rPr>
          <w:t>[13]</w:t>
        </w:r>
      </w:hyperlink>
      <w:bookmarkStart w:id="126" w:name="co_anchor_B131932122515_1"/>
      <w:bookmarkEnd w:id="126"/>
      <w:r>
        <w:rPr>
          <w:rFonts w:ascii="Times New Roman" w:hAnsi="Times New Roman"/>
          <w:color w:val="000000"/>
          <w:sz w:val="20"/>
          <w:szCs w:val="20"/>
        </w:rPr>
        <w:t xml:space="preserve"> </w:t>
      </w:r>
      <w:hyperlink r:id="rId125" w:history="1">
        <w:r>
          <w:rPr>
            <w:rFonts w:ascii="Times New Roman" w:hAnsi="Times New Roman"/>
            <w:b/>
            <w:bCs/>
            <w:color w:val="252525"/>
            <w:sz w:val="20"/>
            <w:szCs w:val="20"/>
            <w:vertAlign w:val="superscript"/>
          </w:rPr>
          <w:t>[14]</w:t>
        </w:r>
      </w:hyperlink>
      <w:bookmarkStart w:id="127" w:name="co_anchor_B141932122515_1"/>
      <w:bookmarkEnd w:id="127"/>
      <w:r>
        <w:rPr>
          <w:rFonts w:ascii="Times New Roman" w:hAnsi="Times New Roman"/>
          <w:color w:val="000000"/>
          <w:sz w:val="20"/>
          <w:szCs w:val="20"/>
        </w:rPr>
        <w:t xml:space="preserve"> 2. Defendants also maintain that no question as to the validity of section 9 was before the court.</w:t>
      </w:r>
    </w:p>
    <w:p w14:paraId="2083FFC4"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r>
        <w:rPr>
          <w:rFonts w:ascii="Times New Roman" w:hAnsi="Times New Roman"/>
          <w:color w:val="000000"/>
          <w:sz w:val="20"/>
          <w:szCs w:val="20"/>
        </w:rPr>
        <w:t> </w:t>
      </w:r>
    </w:p>
    <w:p w14:paraId="02F7C92A"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The record shows that plaintiff having taken crude oil in excess of the quant</w:t>
      </w:r>
      <w:r>
        <w:rPr>
          <w:rFonts w:ascii="Times New Roman" w:hAnsi="Times New Roman"/>
          <w:color w:val="000000"/>
          <w:sz w:val="20"/>
          <w:szCs w:val="20"/>
        </w:rPr>
        <w:t xml:space="preserve">ities allowed by the orders, the Attorney </w:t>
      </w:r>
      <w:bookmarkStart w:id="128" w:name="co_pp_sp_780_239_1"/>
      <w:bookmarkEnd w:id="128"/>
      <w:r>
        <w:rPr>
          <w:rFonts w:ascii="Times New Roman" w:hAnsi="Times New Roman"/>
          <w:b/>
          <w:bCs/>
          <w:color w:val="000000"/>
          <w:sz w:val="20"/>
          <w:szCs w:val="20"/>
        </w:rPr>
        <w:t>*239</w:t>
      </w:r>
      <w:r>
        <w:rPr>
          <w:rFonts w:ascii="Times New Roman" w:hAnsi="Times New Roman"/>
          <w:color w:val="000000"/>
          <w:sz w:val="20"/>
          <w:szCs w:val="20"/>
        </w:rPr>
        <w:t xml:space="preserve"> General, May 28, 1931, brought suit under section 9 in a state court to have a receiver appointed for its wells. And he procured that court to issue a temporary injunction r</w:t>
      </w:r>
      <w:r>
        <w:rPr>
          <w:rFonts w:ascii="Times New Roman" w:hAnsi="Times New Roman"/>
          <w:color w:val="000000"/>
          <w:sz w:val="20"/>
          <w:szCs w:val="20"/>
        </w:rPr>
        <w:t>estraining plaintiff from producing oil or violating the act or proration orders pending the appointment of a receiver. On the next day, plaintiff filed an amended and supplemental bill applying for a stay of enforcement of the proration orders pending the</w:t>
      </w:r>
      <w:r>
        <w:rPr>
          <w:rFonts w:ascii="Times New Roman" w:hAnsi="Times New Roman"/>
          <w:color w:val="000000"/>
          <w:sz w:val="20"/>
          <w:szCs w:val="20"/>
        </w:rPr>
        <w:t xml:space="preserve"> determination of the appeal, No. 122, to this court.</w:t>
      </w:r>
    </w:p>
    <w:p w14:paraId="76ED0441"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June 13 the lower ocurt, upon plaintiff’</w:t>
      </w:r>
      <w:r>
        <w:rPr>
          <w:rFonts w:ascii="Times New Roman" w:hAnsi="Times New Roman"/>
          <w:color w:val="000000"/>
          <w:sz w:val="20"/>
          <w:szCs w:val="20"/>
        </w:rPr>
        <w:t>s application and affidavits submitted by the parties, found that plaintiff would suffer irreparable loss and injury unless the stay be granted. And it entered an order restraining the commission from instituting proceedings under section 6 of the act; res</w:t>
      </w:r>
      <w:r>
        <w:rPr>
          <w:rFonts w:ascii="Times New Roman" w:hAnsi="Times New Roman"/>
          <w:color w:val="000000"/>
          <w:sz w:val="20"/>
          <w:szCs w:val="20"/>
        </w:rPr>
        <w:t>training the Attorney General and county attorney from prosecuting under section 9 receivership proceedings against plaintiff; allowing plaintiff, on conditions which need not be stated here, to produce up to 10,000 barrels daily; and requiring the Attorne</w:t>
      </w:r>
      <w:r>
        <w:rPr>
          <w:rFonts w:ascii="Times New Roman" w:hAnsi="Times New Roman"/>
          <w:color w:val="000000"/>
          <w:sz w:val="20"/>
          <w:szCs w:val="20"/>
        </w:rPr>
        <w:t>y General immediately to have the state court injunction dissolved.</w:t>
      </w:r>
    </w:p>
    <w:p w14:paraId="7DC93410"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It is clear, if section 9 is invalid, that the enforcement of its provisions pending the trial of this case would, as plaintiff claimed and the lower court found, have inflicted irreparabl</w:t>
      </w:r>
      <w:r>
        <w:rPr>
          <w:rFonts w:ascii="Times New Roman" w:hAnsi="Times New Roman"/>
          <w:color w:val="000000"/>
          <w:sz w:val="20"/>
          <w:szCs w:val="20"/>
        </w:rPr>
        <w:t>e loss and damage upon the plaintiff. Defendants do not show or claim that the evidence does not establish that finding. The lower court had authority to stay the enforcement of the assailed orders pending the determination of plaintiff’s appeal from the d</w:t>
      </w:r>
      <w:r>
        <w:rPr>
          <w:rFonts w:ascii="Times New Roman" w:hAnsi="Times New Roman"/>
          <w:color w:val="000000"/>
          <w:sz w:val="20"/>
          <w:szCs w:val="20"/>
        </w:rPr>
        <w:t xml:space="preserve">enial of its motion for temporary injunction. </w:t>
      </w:r>
      <w:hyperlink r:id="rId126" w:history="1">
        <w:r>
          <w:rPr>
            <w:rFonts w:ascii="Times New Roman" w:hAnsi="Times New Roman"/>
            <w:color w:val="0000FF"/>
            <w:sz w:val="20"/>
            <w:szCs w:val="20"/>
          </w:rPr>
          <w:t>Hovey v. McDonald, 109 U. S. 150, 161, 3 S. Ct. 136, 27 L. Ed. 888;</w:t>
        </w:r>
      </w:hyperlink>
      <w:r>
        <w:rPr>
          <w:rFonts w:ascii="Times New Roman" w:hAnsi="Times New Roman"/>
          <w:color w:val="000000"/>
          <w:sz w:val="20"/>
          <w:szCs w:val="20"/>
        </w:rPr>
        <w:t xml:space="preserve"> </w:t>
      </w:r>
      <w:hyperlink r:id="rId127" w:history="1">
        <w:r>
          <w:rPr>
            <w:rFonts w:ascii="Times New Roman" w:hAnsi="Times New Roman"/>
            <w:color w:val="0000FF"/>
            <w:sz w:val="20"/>
            <w:szCs w:val="20"/>
          </w:rPr>
          <w:t>Cotting v. Kansas City Stock-Yards Co. (C. C.) 82 F. 839, 857;</w:t>
        </w:r>
      </w:hyperlink>
      <w:r>
        <w:rPr>
          <w:rFonts w:ascii="Times New Roman" w:hAnsi="Times New Roman"/>
          <w:color w:val="000000"/>
          <w:sz w:val="20"/>
          <w:szCs w:val="20"/>
        </w:rPr>
        <w:t xml:space="preserve"> </w:t>
      </w:r>
      <w:hyperlink r:id="rId128" w:history="1">
        <w:r>
          <w:rPr>
            <w:rFonts w:ascii="Times New Roman" w:hAnsi="Times New Roman"/>
            <w:color w:val="0000FF"/>
            <w:sz w:val="20"/>
            <w:szCs w:val="20"/>
          </w:rPr>
          <w:t>Cumberland Tel. Co. v. Pub. Serv. Co</w:t>
        </w:r>
        <w:r>
          <w:rPr>
            <w:rFonts w:ascii="Times New Roman" w:hAnsi="Times New Roman"/>
            <w:color w:val="0000FF"/>
            <w:sz w:val="20"/>
            <w:szCs w:val="20"/>
          </w:rPr>
          <w:t>mm., 260 U. S. 212, 43 S. Ct. 75, 67 L. Ed. 217;</w:t>
        </w:r>
      </w:hyperlink>
      <w:r>
        <w:rPr>
          <w:rFonts w:ascii="Times New Roman" w:hAnsi="Times New Roman"/>
          <w:color w:val="000000"/>
          <w:sz w:val="20"/>
          <w:szCs w:val="20"/>
        </w:rPr>
        <w:t xml:space="preserve"> </w:t>
      </w:r>
      <w:hyperlink r:id="rId129" w:history="1">
        <w:r>
          <w:rPr>
            <w:rFonts w:ascii="Times New Roman" w:hAnsi="Times New Roman"/>
            <w:color w:val="0000FF"/>
            <w:sz w:val="20"/>
            <w:szCs w:val="20"/>
          </w:rPr>
          <w:t>Virginian Ry. Co. v. United States, 272 U. S. 658, 669</w:t>
        </w:r>
      </w:hyperlink>
      <w:r>
        <w:rPr>
          <w:rFonts w:ascii="Times New Roman" w:hAnsi="Times New Roman"/>
          <w:color w:val="000000"/>
          <w:sz w:val="20"/>
          <w:szCs w:val="20"/>
        </w:rPr>
        <w:t xml:space="preserve"> et seq., </w:t>
      </w:r>
      <w:hyperlink r:id="rId130" w:history="1">
        <w:r>
          <w:rPr>
            <w:rFonts w:ascii="Times New Roman" w:hAnsi="Times New Roman"/>
            <w:color w:val="0000FF"/>
            <w:sz w:val="20"/>
            <w:szCs w:val="20"/>
          </w:rPr>
          <w:t>47 S. Ct. 222, 71 L. Ed. 463.</w:t>
        </w:r>
      </w:hyperlink>
      <w:r>
        <w:rPr>
          <w:rFonts w:ascii="Times New Roman" w:hAnsi="Times New Roman"/>
          <w:color w:val="000000"/>
          <w:sz w:val="20"/>
          <w:szCs w:val="20"/>
        </w:rPr>
        <w:t xml:space="preserve"> The jurisdiction of the court was properly invoked to determine whe</w:t>
      </w:r>
      <w:r>
        <w:rPr>
          <w:rFonts w:ascii="Times New Roman" w:hAnsi="Times New Roman"/>
          <w:color w:val="000000"/>
          <w:sz w:val="20"/>
          <w:szCs w:val="20"/>
        </w:rPr>
        <w:t xml:space="preserve">ther plaintiff </w:t>
      </w:r>
      <w:bookmarkStart w:id="129" w:name="co_pp_sp_708_567_1"/>
      <w:bookmarkEnd w:id="129"/>
      <w:r>
        <w:rPr>
          <w:rFonts w:ascii="Times New Roman" w:hAnsi="Times New Roman"/>
          <w:b/>
          <w:bCs/>
          <w:color w:val="000000"/>
          <w:sz w:val="20"/>
          <w:szCs w:val="20"/>
        </w:rPr>
        <w:t>**567</w:t>
      </w:r>
      <w:r>
        <w:rPr>
          <w:rFonts w:ascii="Times New Roman" w:hAnsi="Times New Roman"/>
          <w:color w:val="000000"/>
          <w:sz w:val="20"/>
          <w:szCs w:val="20"/>
        </w:rPr>
        <w:t xml:space="preserve"> was entitled to protection against the shutting down </w:t>
      </w:r>
      <w:bookmarkStart w:id="130" w:name="co_pp_sp_780_240_1"/>
      <w:bookmarkEnd w:id="130"/>
      <w:r>
        <w:rPr>
          <w:rFonts w:ascii="Times New Roman" w:hAnsi="Times New Roman"/>
          <w:b/>
          <w:bCs/>
          <w:color w:val="000000"/>
          <w:sz w:val="20"/>
          <w:szCs w:val="20"/>
        </w:rPr>
        <w:t>*240</w:t>
      </w:r>
      <w:r>
        <w:rPr>
          <w:rFonts w:ascii="Times New Roman" w:hAnsi="Times New Roman"/>
          <w:color w:val="000000"/>
          <w:sz w:val="20"/>
          <w:szCs w:val="20"/>
        </w:rPr>
        <w:t xml:space="preserve"> and seizure of its wells and the sale of its oil pending the federal court’s </w:t>
      </w:r>
      <w:r>
        <w:rPr>
          <w:rFonts w:ascii="Times New Roman" w:hAnsi="Times New Roman"/>
          <w:color w:val="000000"/>
          <w:sz w:val="20"/>
          <w:szCs w:val="20"/>
        </w:rPr>
        <w:t>final decision.</w:t>
      </w:r>
    </w:p>
    <w:p w14:paraId="2ADF43B9"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The Attorney</w:t>
      </w:r>
      <w:r>
        <w:rPr>
          <w:rFonts w:ascii="Times New Roman" w:hAnsi="Times New Roman"/>
          <w:color w:val="000000"/>
          <w:sz w:val="20"/>
          <w:szCs w:val="20"/>
        </w:rPr>
        <w:t xml:space="preserve"> General, though not required so to do, dismissed the suit in the state court, and here insists that, as no proceeding for a receiver was pending, the court erred in construing or passing on the validity of section 9. But, when regard is had to the facts a</w:t>
      </w:r>
      <w:r>
        <w:rPr>
          <w:rFonts w:ascii="Times New Roman" w:hAnsi="Times New Roman"/>
          <w:color w:val="000000"/>
          <w:sz w:val="20"/>
          <w:szCs w:val="20"/>
        </w:rPr>
        <w:t>nd circumstances, it is clear that such dismissal did not require that court to hold that thereby the purpose of the Attorney General and county attorney had changed or that prosecution under the section was no longer imminent. The court was therefore prop</w:t>
      </w:r>
      <w:r>
        <w:rPr>
          <w:rFonts w:ascii="Times New Roman" w:hAnsi="Times New Roman"/>
          <w:color w:val="000000"/>
          <w:sz w:val="20"/>
          <w:szCs w:val="20"/>
        </w:rPr>
        <w:t>erly called upon to pass upon its validity.</w:t>
      </w:r>
    </w:p>
    <w:p w14:paraId="5235D810"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hyperlink r:id="rId131" w:history="1">
        <w:r>
          <w:rPr>
            <w:rFonts w:ascii="Times New Roman" w:hAnsi="Times New Roman"/>
            <w:b/>
            <w:bCs/>
            <w:color w:val="252525"/>
            <w:sz w:val="20"/>
            <w:szCs w:val="20"/>
            <w:vertAlign w:val="superscript"/>
          </w:rPr>
          <w:t>[15]</w:t>
        </w:r>
      </w:hyperlink>
      <w:bookmarkStart w:id="131" w:name="co_anchor_B151932122515_1"/>
      <w:bookmarkEnd w:id="131"/>
      <w:r>
        <w:rPr>
          <w:rFonts w:ascii="Times New Roman" w:hAnsi="Times New Roman"/>
          <w:color w:val="000000"/>
          <w:sz w:val="20"/>
          <w:szCs w:val="20"/>
        </w:rPr>
        <w:t xml:space="preserve"> </w:t>
      </w:r>
      <w:hyperlink r:id="rId132" w:history="1">
        <w:r>
          <w:rPr>
            <w:rFonts w:ascii="Times New Roman" w:hAnsi="Times New Roman"/>
            <w:b/>
            <w:bCs/>
            <w:color w:val="252525"/>
            <w:sz w:val="20"/>
            <w:szCs w:val="20"/>
            <w:vertAlign w:val="superscript"/>
          </w:rPr>
          <w:t>[16]</w:t>
        </w:r>
      </w:hyperlink>
      <w:bookmarkStart w:id="132" w:name="co_anchor_B161932122515_1"/>
      <w:bookmarkEnd w:id="132"/>
      <w:r>
        <w:rPr>
          <w:rFonts w:ascii="Times New Roman" w:hAnsi="Times New Roman"/>
          <w:color w:val="000000"/>
          <w:sz w:val="20"/>
          <w:szCs w:val="20"/>
        </w:rPr>
        <w:t xml:space="preserve"> 3. Section 9 provides: </w:t>
      </w:r>
      <w:r>
        <w:rPr>
          <w:rFonts w:ascii="Times New Roman" w:hAnsi="Times New Roman"/>
          <w:color w:val="000000"/>
          <w:sz w:val="20"/>
          <w:szCs w:val="20"/>
        </w:rPr>
        <w:t>‘</w:t>
      </w:r>
      <w:r>
        <w:rPr>
          <w:rFonts w:ascii="Times New Roman" w:hAnsi="Times New Roman"/>
          <w:color w:val="000000"/>
          <w:sz w:val="20"/>
          <w:szCs w:val="20"/>
        </w:rPr>
        <w:t>That in addition to any penalty imposed under the preceding section, any person, firm or corporation, violating the provisions of this act, shall be subject to have his or its producing property placed in t</w:t>
      </w:r>
      <w:r>
        <w:rPr>
          <w:rFonts w:ascii="Times New Roman" w:hAnsi="Times New Roman"/>
          <w:color w:val="000000"/>
          <w:sz w:val="20"/>
          <w:szCs w:val="20"/>
        </w:rPr>
        <w:t>he hands of a receiver by a court of competent jurisdiction, at the suit of the State through the Attorney General, or any county attorney, but such receivership shall only extend to the operating of producing wells and the marketing of the production ther</w:t>
      </w:r>
      <w:r>
        <w:rPr>
          <w:rFonts w:ascii="Times New Roman" w:hAnsi="Times New Roman"/>
          <w:color w:val="000000"/>
          <w:sz w:val="20"/>
          <w:szCs w:val="20"/>
        </w:rPr>
        <w:t>eof, under the provisions of this act.</w:t>
      </w:r>
      <w:r>
        <w:rPr>
          <w:rFonts w:ascii="Times New Roman" w:hAnsi="Times New Roman"/>
          <w:color w:val="000000"/>
          <w:sz w:val="20"/>
          <w:szCs w:val="20"/>
        </w:rPr>
        <w:t>’</w:t>
      </w:r>
      <w:r>
        <w:rPr>
          <w:rFonts w:ascii="Times New Roman" w:hAnsi="Times New Roman"/>
          <w:color w:val="000000"/>
          <w:sz w:val="20"/>
          <w:szCs w:val="20"/>
        </w:rPr>
        <w:t xml:space="preserve"> The language used applies to violations of the act, and does not extend to violations of orders of the commission. It is plain and leaves no room for construction. A direct and unambiguous expression would be require</w:t>
      </w:r>
      <w:r>
        <w:rPr>
          <w:rFonts w:ascii="Times New Roman" w:hAnsi="Times New Roman"/>
          <w:color w:val="000000"/>
          <w:sz w:val="20"/>
          <w:szCs w:val="20"/>
        </w:rPr>
        <w:t>d to warrant an inference that the state Legislature intended to authorize the seizure of producers’ wells and the sale of their oil for a mere violation of an order.</w:t>
      </w:r>
    </w:p>
    <w:p w14:paraId="76AEBF11"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r>
        <w:rPr>
          <w:rFonts w:ascii="Times New Roman" w:hAnsi="Times New Roman"/>
          <w:color w:val="000000"/>
          <w:sz w:val="20"/>
          <w:szCs w:val="20"/>
        </w:rPr>
        <w:t> </w:t>
      </w:r>
    </w:p>
    <w:p w14:paraId="28E4E68A"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 xml:space="preserve">The context and language used unmistakably show that the section imposes a penalty and </w:t>
      </w:r>
      <w:r>
        <w:rPr>
          <w:rFonts w:ascii="Times New Roman" w:hAnsi="Times New Roman"/>
          <w:color w:val="000000"/>
          <w:sz w:val="20"/>
          <w:szCs w:val="20"/>
        </w:rPr>
        <w:t>is not a measure in the nature of, or in aid of remedy by, injunction to prevent future violations. By section 6 the commission, which in respect of such matters is a court of record (</w:t>
      </w:r>
      <w:hyperlink r:id="rId133" w:history="1">
        <w:r>
          <w:rPr>
            <w:rFonts w:ascii="Times New Roman" w:hAnsi="Times New Roman"/>
            <w:color w:val="0000FF"/>
            <w:sz w:val="20"/>
            <w:szCs w:val="20"/>
          </w:rPr>
          <w:t>State Constitution, art. 9, s 19)</w:t>
        </w:r>
      </w:hyperlink>
      <w:r>
        <w:rPr>
          <w:rFonts w:ascii="Times New Roman" w:hAnsi="Times New Roman"/>
          <w:color w:val="000000"/>
          <w:sz w:val="20"/>
          <w:szCs w:val="20"/>
        </w:rPr>
        <w:t>, is empowered to punish as for c</w:t>
      </w:r>
      <w:r>
        <w:rPr>
          <w:rFonts w:ascii="Times New Roman" w:hAnsi="Times New Roman"/>
          <w:color w:val="000000"/>
          <w:sz w:val="20"/>
          <w:szCs w:val="20"/>
        </w:rPr>
        <w:t xml:space="preserve">ontempt violation of the commission’s orders by fines up to $500 per day during continuance of such violation. </w:t>
      </w:r>
      <w:bookmarkStart w:id="133" w:name="co_pp_sp_780_241_1"/>
      <w:bookmarkEnd w:id="133"/>
      <w:r>
        <w:rPr>
          <w:rFonts w:ascii="Times New Roman" w:hAnsi="Times New Roman"/>
          <w:b/>
          <w:bCs/>
          <w:color w:val="000000"/>
          <w:sz w:val="20"/>
          <w:szCs w:val="20"/>
        </w:rPr>
        <w:t>*241</w:t>
      </w:r>
      <w:r>
        <w:rPr>
          <w:rFonts w:ascii="Times New Roman" w:hAnsi="Times New Roman"/>
          <w:color w:val="000000"/>
          <w:sz w:val="20"/>
          <w:szCs w:val="20"/>
        </w:rPr>
        <w:t xml:space="preserve"> Sections 3498, 3499, C. O. S. 1921; </w:t>
      </w:r>
      <w:hyperlink r:id="rId134" w:history="1">
        <w:r>
          <w:rPr>
            <w:rFonts w:ascii="Times New Roman" w:hAnsi="Times New Roman"/>
            <w:color w:val="0000FF"/>
            <w:sz w:val="20"/>
            <w:szCs w:val="20"/>
          </w:rPr>
          <w:t xml:space="preserve">Planters’ Cotton &amp; Ginning Co. v. West Bros., 82 Okl. 145, 147, 198 </w:t>
        </w:r>
        <w:r>
          <w:rPr>
            <w:rFonts w:ascii="Times New Roman" w:hAnsi="Times New Roman"/>
            <w:color w:val="0000FF"/>
            <w:sz w:val="20"/>
            <w:szCs w:val="20"/>
          </w:rPr>
          <w:t>P. 855.</w:t>
        </w:r>
      </w:hyperlink>
      <w:r>
        <w:rPr>
          <w:rFonts w:ascii="Times New Roman" w:hAnsi="Times New Roman"/>
          <w:color w:val="000000"/>
          <w:sz w:val="20"/>
          <w:szCs w:val="20"/>
        </w:rPr>
        <w:t xml:space="preserve"> And section 8 declares that, </w:t>
      </w:r>
      <w:r>
        <w:rPr>
          <w:rFonts w:ascii="Times New Roman" w:hAnsi="Times New Roman"/>
          <w:color w:val="000000"/>
          <w:sz w:val="20"/>
          <w:szCs w:val="20"/>
        </w:rPr>
        <w:t>‘</w:t>
      </w:r>
      <w:r>
        <w:rPr>
          <w:rFonts w:ascii="Times New Roman" w:hAnsi="Times New Roman"/>
          <w:color w:val="000000"/>
          <w:sz w:val="20"/>
          <w:szCs w:val="20"/>
        </w:rPr>
        <w:t>in addition to any penalty</w:t>
      </w:r>
      <w:r>
        <w:rPr>
          <w:rFonts w:ascii="Times New Roman" w:hAnsi="Times New Roman"/>
          <w:color w:val="000000"/>
          <w:sz w:val="20"/>
          <w:szCs w:val="20"/>
        </w:rPr>
        <w:t>’</w:t>
      </w:r>
      <w:r>
        <w:rPr>
          <w:rFonts w:ascii="Times New Roman" w:hAnsi="Times New Roman"/>
          <w:color w:val="000000"/>
          <w:sz w:val="20"/>
          <w:szCs w:val="20"/>
        </w:rPr>
        <w:t xml:space="preserve"> that may be imposed by the commission for contempt, one directly or indirectly </w:t>
      </w:r>
      <w:r>
        <w:rPr>
          <w:rFonts w:ascii="Times New Roman" w:hAnsi="Times New Roman"/>
          <w:color w:val="000000"/>
          <w:sz w:val="20"/>
          <w:szCs w:val="20"/>
        </w:rPr>
        <w:t>‘</w:t>
      </w:r>
      <w:r>
        <w:rPr>
          <w:rFonts w:ascii="Times New Roman" w:hAnsi="Times New Roman"/>
          <w:color w:val="000000"/>
          <w:sz w:val="20"/>
          <w:szCs w:val="20"/>
        </w:rPr>
        <w:t>violating the provisions of this act</w:t>
      </w:r>
      <w:r>
        <w:rPr>
          <w:rFonts w:ascii="Times New Roman" w:hAnsi="Times New Roman"/>
          <w:color w:val="000000"/>
          <w:sz w:val="20"/>
          <w:szCs w:val="20"/>
        </w:rPr>
        <w:t>’</w:t>
      </w:r>
      <w:r>
        <w:rPr>
          <w:rFonts w:ascii="Times New Roman" w:hAnsi="Times New Roman"/>
          <w:color w:val="000000"/>
          <w:sz w:val="20"/>
          <w:szCs w:val="20"/>
        </w:rPr>
        <w:t xml:space="preserve"> shall be guilty of a misdemeanor and be punished by fine or imprisonm</w:t>
      </w:r>
      <w:r>
        <w:rPr>
          <w:rFonts w:ascii="Times New Roman" w:hAnsi="Times New Roman"/>
          <w:color w:val="000000"/>
          <w:sz w:val="20"/>
          <w:szCs w:val="20"/>
        </w:rPr>
        <w:t xml:space="preserve">ent. And similarly the liability under section 9 is for </w:t>
      </w:r>
      <w:r>
        <w:rPr>
          <w:rFonts w:ascii="Times New Roman" w:hAnsi="Times New Roman"/>
          <w:color w:val="000000"/>
          <w:sz w:val="20"/>
          <w:szCs w:val="20"/>
        </w:rPr>
        <w:t>‘</w:t>
      </w:r>
      <w:r>
        <w:rPr>
          <w:rFonts w:ascii="Times New Roman" w:hAnsi="Times New Roman"/>
          <w:color w:val="000000"/>
          <w:sz w:val="20"/>
          <w:szCs w:val="20"/>
        </w:rPr>
        <w:t>violating the provisions of this act</w:t>
      </w:r>
      <w:r>
        <w:rPr>
          <w:rFonts w:ascii="Times New Roman" w:hAnsi="Times New Roman"/>
          <w:color w:val="000000"/>
          <w:sz w:val="20"/>
          <w:szCs w:val="20"/>
        </w:rPr>
        <w:t>’</w:t>
      </w:r>
      <w:r>
        <w:rPr>
          <w:rFonts w:ascii="Times New Roman" w:hAnsi="Times New Roman"/>
          <w:color w:val="000000"/>
          <w:sz w:val="20"/>
          <w:szCs w:val="20"/>
        </w:rPr>
        <w:t xml:space="preserve"> and is </w:t>
      </w:r>
      <w:r>
        <w:rPr>
          <w:rFonts w:ascii="Times New Roman" w:hAnsi="Times New Roman"/>
          <w:color w:val="000000"/>
          <w:sz w:val="20"/>
          <w:szCs w:val="20"/>
        </w:rPr>
        <w:t>‘</w:t>
      </w:r>
      <w:r>
        <w:rPr>
          <w:rFonts w:ascii="Times New Roman" w:hAnsi="Times New Roman"/>
          <w:color w:val="000000"/>
          <w:sz w:val="20"/>
          <w:szCs w:val="20"/>
        </w:rPr>
        <w:t>in addition to any penalty</w:t>
      </w:r>
      <w:r>
        <w:rPr>
          <w:rFonts w:ascii="Times New Roman" w:hAnsi="Times New Roman"/>
          <w:color w:val="000000"/>
          <w:sz w:val="20"/>
          <w:szCs w:val="20"/>
        </w:rPr>
        <w:t>’</w:t>
      </w:r>
      <w:r>
        <w:rPr>
          <w:rFonts w:ascii="Times New Roman" w:hAnsi="Times New Roman"/>
          <w:color w:val="000000"/>
          <w:sz w:val="20"/>
          <w:szCs w:val="20"/>
        </w:rPr>
        <w:t xml:space="preserve"> imposed by section 8. Both deal with an act already committed. Moreover, liability under section 9 is not limited to seizure </w:t>
      </w:r>
      <w:r>
        <w:rPr>
          <w:rFonts w:ascii="Times New Roman" w:hAnsi="Times New Roman"/>
          <w:color w:val="000000"/>
          <w:sz w:val="20"/>
          <w:szCs w:val="20"/>
        </w:rPr>
        <w:t>and operation of the offender’s wells, but extends to the marketing of his oil. Absolute liability arises from a single transgression, and prosecution therefor may be had after all occasion for restraint of production has ceased. There is nothing in the ac</w:t>
      </w:r>
      <w:r>
        <w:rPr>
          <w:rFonts w:ascii="Times New Roman" w:hAnsi="Times New Roman"/>
          <w:color w:val="000000"/>
          <w:sz w:val="20"/>
          <w:szCs w:val="20"/>
        </w:rPr>
        <w:t xml:space="preserve">t by which the duration of the </w:t>
      </w:r>
      <w:r>
        <w:rPr>
          <w:rFonts w:ascii="Times New Roman" w:hAnsi="Times New Roman"/>
          <w:color w:val="000000"/>
          <w:sz w:val="20"/>
          <w:szCs w:val="20"/>
        </w:rPr>
        <w:lastRenderedPageBreak/>
        <w:t xml:space="preserve">receivership may be determined. An owner whose wells are so seized may not, as of right, have production reduced or withheld to await a better demand or have any voice as to quantities to be produced, or continue to have his </w:t>
      </w:r>
      <w:r>
        <w:rPr>
          <w:rFonts w:ascii="Times New Roman" w:hAnsi="Times New Roman"/>
          <w:color w:val="000000"/>
          <w:sz w:val="20"/>
          <w:szCs w:val="20"/>
        </w:rPr>
        <w:t xml:space="preserve">oil transported by means of his own pipelines or other facilities, or have it sent to his own refinery or delivered in fulfillment of his contracts. Plainly such a taking deprives the owner of property without compensation, even if the moneys received for </w:t>
      </w:r>
      <w:r>
        <w:rPr>
          <w:rFonts w:ascii="Times New Roman" w:hAnsi="Times New Roman"/>
          <w:color w:val="000000"/>
          <w:sz w:val="20"/>
          <w:szCs w:val="20"/>
        </w:rPr>
        <w:t>oil sold less expenses are accounted for by the receiver. The suit is prosecuted by the state to redress a public wrong denounced as crime. The provisions of section 9 are not consistent with any purpose other than to inflict punishment for violation of th</w:t>
      </w:r>
      <w:r>
        <w:rPr>
          <w:rFonts w:ascii="Times New Roman" w:hAnsi="Times New Roman"/>
          <w:color w:val="000000"/>
          <w:sz w:val="20"/>
          <w:szCs w:val="20"/>
        </w:rPr>
        <w:t xml:space="preserve">e act, and they must be deemed as intended to impose additional penalties upon offenders having oil producing wells. </w:t>
      </w:r>
      <w:hyperlink r:id="rId135" w:history="1">
        <w:r>
          <w:rPr>
            <w:rFonts w:ascii="Times New Roman" w:hAnsi="Times New Roman"/>
            <w:color w:val="0000FF"/>
            <w:sz w:val="20"/>
            <w:szCs w:val="20"/>
          </w:rPr>
          <w:t>Boyd v. United States, 116 U. S. 616, 634, 6 S. Ct. 524, 29 L. Ed. 746;</w:t>
        </w:r>
      </w:hyperlink>
      <w:r>
        <w:rPr>
          <w:rFonts w:ascii="Times New Roman" w:hAnsi="Times New Roman"/>
          <w:color w:val="000000"/>
          <w:sz w:val="20"/>
          <w:szCs w:val="20"/>
        </w:rPr>
        <w:t xml:space="preserve"> </w:t>
      </w:r>
      <w:hyperlink r:id="rId136" w:history="1">
        <w:r>
          <w:rPr>
            <w:rFonts w:ascii="Times New Roman" w:hAnsi="Times New Roman"/>
            <w:color w:val="0000FF"/>
            <w:sz w:val="20"/>
            <w:szCs w:val="20"/>
          </w:rPr>
          <w:t xml:space="preserve">United States v. Reisinger, 128 U. S. 398, 402, 9 S. Ct. 99, 32 </w:t>
        </w:r>
        <w:r>
          <w:rPr>
            <w:rFonts w:ascii="Times New Roman" w:hAnsi="Times New Roman"/>
            <w:color w:val="0000FF"/>
            <w:sz w:val="20"/>
            <w:szCs w:val="20"/>
          </w:rPr>
          <w:t>L. Ed. 480;</w:t>
        </w:r>
      </w:hyperlink>
      <w:r>
        <w:rPr>
          <w:rFonts w:ascii="Times New Roman" w:hAnsi="Times New Roman"/>
          <w:color w:val="000000"/>
          <w:sz w:val="20"/>
          <w:szCs w:val="20"/>
        </w:rPr>
        <w:t xml:space="preserve"> </w:t>
      </w:r>
      <w:hyperlink r:id="rId137" w:history="1">
        <w:r>
          <w:rPr>
            <w:rFonts w:ascii="Times New Roman" w:hAnsi="Times New Roman"/>
            <w:color w:val="0000FF"/>
            <w:sz w:val="20"/>
            <w:szCs w:val="20"/>
          </w:rPr>
          <w:t>Huntington v. Attrill, 146 U. S. 657, 667, 668, 13 S. Ct. 224, 36 L. Ed. 1123</w:t>
        </w:r>
      </w:hyperlink>
      <w:r>
        <w:rPr>
          <w:rFonts w:ascii="Times New Roman" w:hAnsi="Times New Roman"/>
          <w:color w:val="000000"/>
          <w:sz w:val="20"/>
          <w:szCs w:val="20"/>
        </w:rPr>
        <w:t>.</w:t>
      </w:r>
    </w:p>
    <w:p w14:paraId="706CFD3E"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 xml:space="preserve">As section 9 declares that one </w:t>
      </w:r>
      <w:r>
        <w:rPr>
          <w:rFonts w:ascii="Times New Roman" w:hAnsi="Times New Roman"/>
          <w:color w:val="000000"/>
          <w:sz w:val="20"/>
          <w:szCs w:val="20"/>
        </w:rPr>
        <w:t>‘</w:t>
      </w:r>
      <w:r>
        <w:rPr>
          <w:rFonts w:ascii="Times New Roman" w:hAnsi="Times New Roman"/>
          <w:color w:val="000000"/>
          <w:sz w:val="20"/>
          <w:szCs w:val="20"/>
        </w:rPr>
        <w:t>violating the provisions of this act, shall be subject</w:t>
      </w:r>
      <w:r>
        <w:rPr>
          <w:rFonts w:ascii="Times New Roman" w:hAnsi="Times New Roman"/>
          <w:color w:val="000000"/>
          <w:sz w:val="20"/>
          <w:szCs w:val="20"/>
        </w:rPr>
        <w:t>’</w:t>
      </w:r>
      <w:r>
        <w:rPr>
          <w:rFonts w:ascii="Times New Roman" w:hAnsi="Times New Roman"/>
          <w:color w:val="000000"/>
          <w:sz w:val="20"/>
          <w:szCs w:val="20"/>
        </w:rPr>
        <w:t xml:space="preserve"> to the prescribed penalties, it is necessary to refer to the regulatory</w:t>
      </w:r>
      <w:r>
        <w:rPr>
          <w:rFonts w:ascii="Times New Roman" w:hAnsi="Times New Roman"/>
          <w:color w:val="000000"/>
          <w:sz w:val="20"/>
          <w:szCs w:val="20"/>
        </w:rPr>
        <w:t xml:space="preserve"> provisions here in </w:t>
      </w:r>
      <w:bookmarkStart w:id="134" w:name="co_pp_sp_780_242_1"/>
      <w:bookmarkEnd w:id="134"/>
      <w:r>
        <w:rPr>
          <w:rFonts w:ascii="Times New Roman" w:hAnsi="Times New Roman"/>
          <w:b/>
          <w:bCs/>
          <w:color w:val="000000"/>
          <w:sz w:val="20"/>
          <w:szCs w:val="20"/>
        </w:rPr>
        <w:t>*242</w:t>
      </w:r>
      <w:r>
        <w:rPr>
          <w:rFonts w:ascii="Times New Roman" w:hAnsi="Times New Roman"/>
          <w:color w:val="000000"/>
          <w:sz w:val="20"/>
          <w:szCs w:val="20"/>
        </w:rPr>
        <w:t xml:space="preserve"> volved. Section 1 prohibits </w:t>
      </w:r>
      <w:r>
        <w:rPr>
          <w:rFonts w:ascii="Times New Roman" w:hAnsi="Times New Roman"/>
          <w:color w:val="000000"/>
          <w:sz w:val="20"/>
          <w:szCs w:val="20"/>
        </w:rPr>
        <w:t>‘</w:t>
      </w:r>
      <w:r>
        <w:rPr>
          <w:rFonts w:ascii="Times New Roman" w:hAnsi="Times New Roman"/>
          <w:color w:val="000000"/>
          <w:sz w:val="20"/>
          <w:szCs w:val="20"/>
        </w:rPr>
        <w:t>production of crude oil * * * in such manner and under such conditions as to constitute waste.</w:t>
      </w:r>
      <w:r>
        <w:rPr>
          <w:rFonts w:ascii="Times New Roman" w:hAnsi="Times New Roman"/>
          <w:color w:val="000000"/>
          <w:sz w:val="20"/>
          <w:szCs w:val="20"/>
        </w:rPr>
        <w:t>’</w:t>
      </w:r>
      <w:r>
        <w:rPr>
          <w:rFonts w:ascii="Times New Roman" w:hAnsi="Times New Roman"/>
          <w:color w:val="000000"/>
          <w:sz w:val="20"/>
          <w:szCs w:val="20"/>
        </w:rPr>
        <w:t xml:space="preserve"> Section 3 declares that, </w:t>
      </w:r>
      <w:r>
        <w:rPr>
          <w:rFonts w:ascii="Times New Roman" w:hAnsi="Times New Roman"/>
          <w:color w:val="000000"/>
          <w:sz w:val="20"/>
          <w:szCs w:val="20"/>
        </w:rPr>
        <w:t>‘</w:t>
      </w:r>
      <w:r>
        <w:rPr>
          <w:rFonts w:ascii="Times New Roman" w:hAnsi="Times New Roman"/>
          <w:color w:val="000000"/>
          <w:sz w:val="20"/>
          <w:szCs w:val="20"/>
        </w:rPr>
        <w:t>in addition to its ordinary meaning,</w:t>
      </w:r>
      <w:r>
        <w:rPr>
          <w:rFonts w:ascii="Times New Roman" w:hAnsi="Times New Roman"/>
          <w:color w:val="000000"/>
          <w:sz w:val="20"/>
          <w:szCs w:val="20"/>
        </w:rPr>
        <w:t>’</w:t>
      </w:r>
      <w:r>
        <w:rPr>
          <w:rFonts w:ascii="Times New Roman" w:hAnsi="Times New Roman"/>
          <w:color w:val="000000"/>
          <w:sz w:val="20"/>
          <w:szCs w:val="20"/>
        </w:rPr>
        <w:t xml:space="preserve"> </w:t>
      </w:r>
      <w:r>
        <w:rPr>
          <w:rFonts w:ascii="Times New Roman" w:hAnsi="Times New Roman"/>
          <w:color w:val="000000"/>
          <w:sz w:val="20"/>
          <w:szCs w:val="20"/>
        </w:rPr>
        <w:t>‘</w:t>
      </w:r>
      <w:r>
        <w:rPr>
          <w:rFonts w:ascii="Times New Roman" w:hAnsi="Times New Roman"/>
          <w:color w:val="000000"/>
          <w:sz w:val="20"/>
          <w:szCs w:val="20"/>
        </w:rPr>
        <w:t>waste</w:t>
      </w:r>
      <w:r>
        <w:rPr>
          <w:rFonts w:ascii="Times New Roman" w:hAnsi="Times New Roman"/>
          <w:color w:val="000000"/>
          <w:sz w:val="20"/>
          <w:szCs w:val="20"/>
        </w:rPr>
        <w:t>’</w:t>
      </w:r>
      <w:r>
        <w:rPr>
          <w:rFonts w:ascii="Times New Roman" w:hAnsi="Times New Roman"/>
          <w:color w:val="000000"/>
          <w:sz w:val="20"/>
          <w:szCs w:val="20"/>
        </w:rPr>
        <w:t xml:space="preserve"> shall include </w:t>
      </w:r>
      <w:r>
        <w:rPr>
          <w:rFonts w:ascii="Times New Roman" w:hAnsi="Times New Roman"/>
          <w:color w:val="000000"/>
          <w:sz w:val="20"/>
          <w:szCs w:val="20"/>
        </w:rPr>
        <w:t>‘</w:t>
      </w:r>
      <w:r>
        <w:rPr>
          <w:rFonts w:ascii="Times New Roman" w:hAnsi="Times New Roman"/>
          <w:color w:val="000000"/>
          <w:sz w:val="20"/>
          <w:szCs w:val="20"/>
        </w:rPr>
        <w:t>economic waste, underground waste, surface waste, and waste incident to the production of crude oil or petroleum in excess of transportation or marketing facilities or reasonable market demands.</w:t>
      </w:r>
      <w:r>
        <w:rPr>
          <w:rFonts w:ascii="Times New Roman" w:hAnsi="Times New Roman"/>
          <w:color w:val="000000"/>
          <w:sz w:val="20"/>
          <w:szCs w:val="20"/>
        </w:rPr>
        <w:t>’</w:t>
      </w:r>
      <w:r>
        <w:rPr>
          <w:rFonts w:ascii="Times New Roman" w:hAnsi="Times New Roman"/>
          <w:color w:val="000000"/>
          <w:sz w:val="20"/>
          <w:szCs w:val="20"/>
        </w:rPr>
        <w:t xml:space="preserve"> Section 4 provides that whenever full produ</w:t>
      </w:r>
      <w:r>
        <w:rPr>
          <w:rFonts w:ascii="Times New Roman" w:hAnsi="Times New Roman"/>
          <w:color w:val="000000"/>
          <w:sz w:val="20"/>
          <w:szCs w:val="20"/>
        </w:rPr>
        <w:t xml:space="preserve">ction from any common source can only be obtained </w:t>
      </w:r>
      <w:r>
        <w:rPr>
          <w:rFonts w:ascii="Times New Roman" w:hAnsi="Times New Roman"/>
          <w:color w:val="000000"/>
          <w:sz w:val="20"/>
          <w:szCs w:val="20"/>
        </w:rPr>
        <w:t>‘</w:t>
      </w:r>
      <w:r>
        <w:rPr>
          <w:rFonts w:ascii="Times New Roman" w:hAnsi="Times New Roman"/>
          <w:color w:val="000000"/>
          <w:sz w:val="20"/>
          <w:szCs w:val="20"/>
        </w:rPr>
        <w:t>under conditions constituting waste,</w:t>
      </w:r>
      <w:r>
        <w:rPr>
          <w:rFonts w:ascii="Times New Roman" w:hAnsi="Times New Roman"/>
          <w:color w:val="000000"/>
          <w:sz w:val="20"/>
          <w:szCs w:val="20"/>
        </w:rPr>
        <w:t>’</w:t>
      </w:r>
      <w:r>
        <w:rPr>
          <w:rFonts w:ascii="Times New Roman" w:hAnsi="Times New Roman"/>
          <w:color w:val="000000"/>
          <w:sz w:val="20"/>
          <w:szCs w:val="20"/>
        </w:rPr>
        <w:t xml:space="preserve"> then one having the right to produce from such source may take therefrom only such proportion </w:t>
      </w:r>
      <w:r>
        <w:rPr>
          <w:rFonts w:ascii="Times New Roman" w:hAnsi="Times New Roman"/>
          <w:color w:val="000000"/>
          <w:sz w:val="20"/>
          <w:szCs w:val="20"/>
        </w:rPr>
        <w:t>‘</w:t>
      </w:r>
      <w:r>
        <w:rPr>
          <w:rFonts w:ascii="Times New Roman" w:hAnsi="Times New Roman"/>
          <w:color w:val="000000"/>
          <w:sz w:val="20"/>
          <w:szCs w:val="20"/>
        </w:rPr>
        <w:t>that may be produced therefrom, without waste, as to the production of t</w:t>
      </w:r>
      <w:r>
        <w:rPr>
          <w:rFonts w:ascii="Times New Roman" w:hAnsi="Times New Roman"/>
          <w:color w:val="000000"/>
          <w:sz w:val="20"/>
          <w:szCs w:val="20"/>
        </w:rPr>
        <w:t xml:space="preserve">he well or wells’ of such taker </w:t>
      </w:r>
      <w:r>
        <w:rPr>
          <w:rFonts w:ascii="Times New Roman" w:hAnsi="Times New Roman"/>
          <w:color w:val="000000"/>
          <w:sz w:val="20"/>
          <w:szCs w:val="20"/>
        </w:rPr>
        <w:t>‘</w:t>
      </w:r>
      <w:r>
        <w:rPr>
          <w:rFonts w:ascii="Times New Roman" w:hAnsi="Times New Roman"/>
          <w:color w:val="000000"/>
          <w:sz w:val="20"/>
          <w:szCs w:val="20"/>
        </w:rPr>
        <w:t>bears to the total production of such common source of supply.</w:t>
      </w:r>
      <w:r>
        <w:rPr>
          <w:rFonts w:ascii="Times New Roman" w:hAnsi="Times New Roman"/>
          <w:color w:val="000000"/>
          <w:sz w:val="20"/>
          <w:szCs w:val="20"/>
        </w:rPr>
        <w:t>’</w:t>
      </w:r>
    </w:p>
    <w:p w14:paraId="203C2DCF"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There is nothing to support defendants’ suggestion that the regulatory provisions of the act do not become operative until the commission has defined permissib</w:t>
      </w:r>
      <w:r>
        <w:rPr>
          <w:rFonts w:ascii="Times New Roman" w:hAnsi="Times New Roman"/>
          <w:color w:val="000000"/>
          <w:sz w:val="20"/>
          <w:szCs w:val="20"/>
        </w:rPr>
        <w:t xml:space="preserve">le production. As shown above, section 9 does not cover violations of orders of the commission. The validity of its provisions must be tested on the basis of the terms employed. In </w:t>
      </w:r>
      <w:hyperlink r:id="rId138" w:history="1">
        <w:r>
          <w:rPr>
            <w:rFonts w:ascii="Times New Roman" w:hAnsi="Times New Roman"/>
            <w:color w:val="0000FF"/>
            <w:sz w:val="20"/>
            <w:szCs w:val="20"/>
          </w:rPr>
          <w:t xml:space="preserve">Connally v. General Construction Co., </w:t>
        </w:r>
        <w:r>
          <w:rPr>
            <w:rFonts w:ascii="Times New Roman" w:hAnsi="Times New Roman"/>
            <w:color w:val="0000FF"/>
            <w:sz w:val="20"/>
            <w:szCs w:val="20"/>
          </w:rPr>
          <w:t>269 U. S. 385, 391, 46 S. Ct. 126, 127, 70 L. Ed. 322,</w:t>
        </w:r>
      </w:hyperlink>
      <w:r>
        <w:rPr>
          <w:rFonts w:ascii="Times New Roman" w:hAnsi="Times New Roman"/>
          <w:color w:val="000000"/>
          <w:sz w:val="20"/>
          <w:szCs w:val="20"/>
        </w:rPr>
        <w:t xml:space="preserve"> this </w:t>
      </w:r>
      <w:bookmarkStart w:id="135" w:name="co_pp_sp_708_568_1"/>
      <w:bookmarkEnd w:id="135"/>
      <w:r>
        <w:rPr>
          <w:rFonts w:ascii="Times New Roman" w:hAnsi="Times New Roman"/>
          <w:b/>
          <w:bCs/>
          <w:color w:val="000000"/>
          <w:sz w:val="20"/>
          <w:szCs w:val="20"/>
        </w:rPr>
        <w:t>**568</w:t>
      </w:r>
      <w:r>
        <w:rPr>
          <w:rFonts w:ascii="Times New Roman" w:hAnsi="Times New Roman"/>
          <w:color w:val="000000"/>
          <w:sz w:val="20"/>
          <w:szCs w:val="20"/>
        </w:rPr>
        <w:t xml:space="preserve"> court has laid down the rule that governs here: </w:t>
      </w:r>
      <w:r>
        <w:rPr>
          <w:rFonts w:ascii="Times New Roman" w:hAnsi="Times New Roman"/>
          <w:color w:val="000000"/>
          <w:sz w:val="20"/>
          <w:szCs w:val="20"/>
        </w:rPr>
        <w:t>‘</w:t>
      </w:r>
      <w:r>
        <w:rPr>
          <w:rFonts w:ascii="Times New Roman" w:hAnsi="Times New Roman"/>
          <w:color w:val="000000"/>
          <w:sz w:val="20"/>
          <w:szCs w:val="20"/>
        </w:rPr>
        <w:t>That the terms of a penal statute creating a new offense must be sufficiently explicit to inform those</w:t>
      </w:r>
      <w:r>
        <w:rPr>
          <w:rFonts w:ascii="Times New Roman" w:hAnsi="Times New Roman"/>
          <w:color w:val="000000"/>
          <w:sz w:val="20"/>
          <w:szCs w:val="20"/>
        </w:rPr>
        <w:t xml:space="preserve"> who are subject to it what conduct on their part will render them liable to its penalties is a well-recognized requirement, consonant alike with ordinary notions of fair play and the </w:t>
      </w:r>
      <w:r>
        <w:rPr>
          <w:rFonts w:ascii="Times New Roman" w:hAnsi="Times New Roman"/>
          <w:color w:val="000000"/>
          <w:sz w:val="20"/>
          <w:szCs w:val="20"/>
        </w:rPr>
        <w:t>settled rules of law; and a statute which either forbids or requires the</w:t>
      </w:r>
      <w:r>
        <w:rPr>
          <w:rFonts w:ascii="Times New Roman" w:hAnsi="Times New Roman"/>
          <w:color w:val="000000"/>
          <w:sz w:val="20"/>
          <w:szCs w:val="20"/>
        </w:rPr>
        <w:t xml:space="preserve"> doing of an act in terms so vague that men of common intelligence must necessarily guess at its meaning and differ as to its application violates the first essential of due process of law.</w:t>
      </w:r>
      <w:r>
        <w:rPr>
          <w:rFonts w:ascii="Times New Roman" w:hAnsi="Times New Roman"/>
          <w:color w:val="000000"/>
          <w:sz w:val="20"/>
          <w:szCs w:val="20"/>
        </w:rPr>
        <w:t>’</w:t>
      </w:r>
    </w:p>
    <w:p w14:paraId="3FB62276"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The general expressions employed here are not known to the common</w:t>
      </w:r>
      <w:r>
        <w:rPr>
          <w:rFonts w:ascii="Times New Roman" w:hAnsi="Times New Roman"/>
          <w:color w:val="000000"/>
          <w:sz w:val="20"/>
          <w:szCs w:val="20"/>
        </w:rPr>
        <w:t xml:space="preserve"> law or shown to have any meaning in the </w:t>
      </w:r>
      <w:bookmarkStart w:id="136" w:name="co_pp_sp_780_243_1"/>
      <w:bookmarkEnd w:id="136"/>
      <w:r>
        <w:rPr>
          <w:rFonts w:ascii="Times New Roman" w:hAnsi="Times New Roman"/>
          <w:b/>
          <w:bCs/>
          <w:color w:val="000000"/>
          <w:sz w:val="20"/>
          <w:szCs w:val="20"/>
        </w:rPr>
        <w:t>*243</w:t>
      </w:r>
      <w:r>
        <w:rPr>
          <w:rFonts w:ascii="Times New Roman" w:hAnsi="Times New Roman"/>
          <w:color w:val="000000"/>
          <w:sz w:val="20"/>
          <w:szCs w:val="20"/>
        </w:rPr>
        <w:t xml:space="preserve"> oil industry sufficiently definite to enable those familiar with the operation of oil wells to apply them with any reasonable degree of certainty. The meaning of the word </w:t>
      </w:r>
      <w:r>
        <w:rPr>
          <w:rFonts w:ascii="Times New Roman" w:hAnsi="Times New Roman"/>
          <w:color w:val="000000"/>
          <w:sz w:val="20"/>
          <w:szCs w:val="20"/>
        </w:rPr>
        <w:t>‘</w:t>
      </w:r>
      <w:r>
        <w:rPr>
          <w:rFonts w:ascii="Times New Roman" w:hAnsi="Times New Roman"/>
          <w:color w:val="000000"/>
          <w:sz w:val="20"/>
          <w:szCs w:val="20"/>
        </w:rPr>
        <w:t>wa</w:t>
      </w:r>
      <w:r>
        <w:rPr>
          <w:rFonts w:ascii="Times New Roman" w:hAnsi="Times New Roman"/>
          <w:color w:val="000000"/>
          <w:sz w:val="20"/>
          <w:szCs w:val="20"/>
        </w:rPr>
        <w:t>ste</w:t>
      </w:r>
      <w:r>
        <w:rPr>
          <w:rFonts w:ascii="Times New Roman" w:hAnsi="Times New Roman"/>
          <w:color w:val="000000"/>
          <w:sz w:val="20"/>
          <w:szCs w:val="20"/>
        </w:rPr>
        <w:t>’</w:t>
      </w:r>
      <w:r>
        <w:rPr>
          <w:rFonts w:ascii="Times New Roman" w:hAnsi="Times New Roman"/>
          <w:color w:val="000000"/>
          <w:sz w:val="20"/>
          <w:szCs w:val="20"/>
        </w:rPr>
        <w:t xml:space="preserve"> necessarily depends upon many factors subject to frequent changes. No act or definite course of conduct is specified as controlling, and, upon the trial of one charged with committing waste in violation of the act, the court could not foresee or presc</w:t>
      </w:r>
      <w:r>
        <w:rPr>
          <w:rFonts w:ascii="Times New Roman" w:hAnsi="Times New Roman"/>
          <w:color w:val="000000"/>
          <w:sz w:val="20"/>
          <w:szCs w:val="20"/>
        </w:rPr>
        <w:t>ribe the scope of the inquiry that reasonably might have a bearing or be necessary in determining whether in fact there had been waste. It is no more definite than would be a mere command that wells shall not be operated in any way that is detrimental to t</w:t>
      </w:r>
      <w:r>
        <w:rPr>
          <w:rFonts w:ascii="Times New Roman" w:hAnsi="Times New Roman"/>
          <w:color w:val="000000"/>
          <w:sz w:val="20"/>
          <w:szCs w:val="20"/>
        </w:rPr>
        <w:t>he public interest in respect of the production of crude oil. And the ascertainment of the facts necessary for the application of the rule of proportionate production laid down in section 4 would require regular gauging of all producing wells in each field</w:t>
      </w:r>
      <w:r>
        <w:rPr>
          <w:rFonts w:ascii="Times New Roman" w:hAnsi="Times New Roman"/>
          <w:color w:val="000000"/>
          <w:sz w:val="20"/>
          <w:szCs w:val="20"/>
        </w:rPr>
        <w:t>; a work far beyond anything that reasonably may be required of a producer in order to determine whether in the operation of his wells as is committing an offense against the act.</w:t>
      </w:r>
    </w:p>
    <w:p w14:paraId="4954CE8D"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 xml:space="preserve">In the light of our decisions, it appears upon a mere inspection that these </w:t>
      </w:r>
      <w:r>
        <w:rPr>
          <w:rFonts w:ascii="Times New Roman" w:hAnsi="Times New Roman"/>
          <w:color w:val="000000"/>
          <w:sz w:val="20"/>
          <w:szCs w:val="20"/>
        </w:rPr>
        <w:t>general words and phrases are so vague and indefinite that any penalty prescribed for their violation constitutes a denial of due process of law. It is not the penalty itself that is invalid, but the exaction of obedience to a rule or standard that is so v</w:t>
      </w:r>
      <w:r>
        <w:rPr>
          <w:rFonts w:ascii="Times New Roman" w:hAnsi="Times New Roman"/>
          <w:color w:val="000000"/>
          <w:sz w:val="20"/>
          <w:szCs w:val="20"/>
        </w:rPr>
        <w:t xml:space="preserve">ague and indefinite as to be really no rule or standard at all. </w:t>
      </w:r>
      <w:hyperlink r:id="rId139" w:history="1">
        <w:r>
          <w:rPr>
            <w:rFonts w:ascii="Times New Roman" w:hAnsi="Times New Roman"/>
            <w:color w:val="0000FF"/>
            <w:sz w:val="20"/>
            <w:szCs w:val="20"/>
          </w:rPr>
          <w:t>United States v. L. Cohen Grocery, 255 U. S. 81, 89, 41 S. Ct. 298, 65 L. Ed. 516, 14 A. L. R. 1045;</w:t>
        </w:r>
      </w:hyperlink>
      <w:r>
        <w:rPr>
          <w:rFonts w:ascii="Times New Roman" w:hAnsi="Times New Roman"/>
          <w:color w:val="000000"/>
          <w:sz w:val="20"/>
          <w:szCs w:val="20"/>
        </w:rPr>
        <w:t xml:space="preserve"> </w:t>
      </w:r>
      <w:hyperlink r:id="rId140" w:history="1">
        <w:r>
          <w:rPr>
            <w:rFonts w:ascii="Times New Roman" w:hAnsi="Times New Roman"/>
            <w:color w:val="0000FF"/>
            <w:sz w:val="20"/>
            <w:szCs w:val="20"/>
          </w:rPr>
          <w:t>Small Co. v. Am. Sugar Ref. Co., 267 U. S. 233, 239, 45 S. Ct. 295, 69 L. Ed. 589;</w:t>
        </w:r>
      </w:hyperlink>
      <w:r>
        <w:rPr>
          <w:rFonts w:ascii="Times New Roman" w:hAnsi="Times New Roman"/>
          <w:color w:val="000000"/>
          <w:sz w:val="20"/>
          <w:szCs w:val="20"/>
        </w:rPr>
        <w:t xml:space="preserve"> Co</w:t>
      </w:r>
      <w:r>
        <w:rPr>
          <w:rFonts w:ascii="Times New Roman" w:hAnsi="Times New Roman"/>
          <w:color w:val="000000"/>
          <w:sz w:val="20"/>
          <w:szCs w:val="20"/>
        </w:rPr>
        <w:t xml:space="preserve">nnally v. General Construction Co., supra; </w:t>
      </w:r>
      <w:hyperlink r:id="rId141" w:history="1">
        <w:r>
          <w:rPr>
            <w:rFonts w:ascii="Times New Roman" w:hAnsi="Times New Roman"/>
            <w:color w:val="0000FF"/>
            <w:sz w:val="20"/>
            <w:szCs w:val="20"/>
          </w:rPr>
          <w:t>Cline v. Frink Dairy Co., 274 U. S. 445, 454, 47 S. Ct. 681, 71 L. Ed. 1146;</w:t>
        </w:r>
      </w:hyperlink>
      <w:r>
        <w:rPr>
          <w:rFonts w:ascii="Times New Roman" w:hAnsi="Times New Roman"/>
          <w:color w:val="000000"/>
          <w:sz w:val="20"/>
          <w:szCs w:val="20"/>
        </w:rPr>
        <w:t xml:space="preserve"> </w:t>
      </w:r>
      <w:hyperlink r:id="rId142" w:history="1">
        <w:r>
          <w:rPr>
            <w:rFonts w:ascii="Times New Roman" w:hAnsi="Times New Roman"/>
            <w:color w:val="0000FF"/>
            <w:sz w:val="20"/>
            <w:szCs w:val="20"/>
          </w:rPr>
          <w:t>Smith v. Cahoon, 283 U. S. 553, 564, 51 S. Ct. 582, 75 L. Ed. 1264</w:t>
        </w:r>
      </w:hyperlink>
      <w:r>
        <w:rPr>
          <w:rFonts w:ascii="Times New Roman" w:hAnsi="Times New Roman"/>
          <w:color w:val="000000"/>
          <w:sz w:val="20"/>
          <w:szCs w:val="20"/>
        </w:rPr>
        <w:t>.</w:t>
      </w:r>
    </w:p>
    <w:p w14:paraId="5584CE37" w14:textId="77777777" w:rsidR="00000000" w:rsidRDefault="00896AE4">
      <w:pPr>
        <w:widowControl w:val="0"/>
        <w:autoSpaceDE w:val="0"/>
        <w:autoSpaceDN w:val="0"/>
        <w:adjustRightInd w:val="0"/>
        <w:spacing w:before="200" w:after="0" w:line="240" w:lineRule="auto"/>
        <w:jc w:val="both"/>
        <w:rPr>
          <w:rFonts w:ascii="Times New Roman" w:hAnsi="Times New Roman"/>
          <w:color w:val="000000"/>
          <w:sz w:val="20"/>
          <w:szCs w:val="20"/>
        </w:rPr>
      </w:pPr>
      <w:r>
        <w:rPr>
          <w:rFonts w:ascii="Times New Roman" w:hAnsi="Times New Roman"/>
          <w:color w:val="000000"/>
          <w:sz w:val="20"/>
          <w:szCs w:val="20"/>
        </w:rPr>
        <w:t>No. 122, dismissed; No. 485, affirmed; No. 486, modified, and,</w:t>
      </w:r>
      <w:r>
        <w:rPr>
          <w:rFonts w:ascii="Times New Roman" w:hAnsi="Times New Roman"/>
          <w:color w:val="000000"/>
          <w:sz w:val="20"/>
          <w:szCs w:val="20"/>
        </w:rPr>
        <w:t xml:space="preserve"> as modified, affirmed.</w:t>
      </w:r>
    </w:p>
    <w:p w14:paraId="62E7E966" w14:textId="77777777" w:rsidR="00000000" w:rsidRDefault="00896AE4">
      <w:pPr>
        <w:widowControl w:val="0"/>
        <w:autoSpaceDE w:val="0"/>
        <w:autoSpaceDN w:val="0"/>
        <w:adjustRightInd w:val="0"/>
        <w:spacing w:before="400" w:after="200" w:line="240" w:lineRule="auto"/>
        <w:jc w:val="both"/>
        <w:rPr>
          <w:rFonts w:ascii="Times New Roman" w:hAnsi="Times New Roman"/>
          <w:b/>
          <w:bCs/>
          <w:color w:val="212121"/>
          <w:sz w:val="20"/>
          <w:szCs w:val="20"/>
        </w:rPr>
      </w:pPr>
      <w:bookmarkStart w:id="137" w:name="co_allCitations_1"/>
      <w:bookmarkEnd w:id="137"/>
      <w:r>
        <w:rPr>
          <w:rFonts w:ascii="Times New Roman" w:hAnsi="Times New Roman"/>
          <w:b/>
          <w:bCs/>
          <w:color w:val="212121"/>
          <w:sz w:val="20"/>
          <w:szCs w:val="20"/>
        </w:rPr>
        <w:t>All Citations</w:t>
      </w:r>
    </w:p>
    <w:p w14:paraId="75F1CA97" w14:textId="77777777" w:rsidR="00000000" w:rsidRDefault="00896AE4">
      <w:pPr>
        <w:widowControl w:val="0"/>
        <w:autoSpaceDE w:val="0"/>
        <w:autoSpaceDN w:val="0"/>
        <w:adjustRightInd w:val="0"/>
        <w:spacing w:after="0" w:line="240" w:lineRule="auto"/>
        <w:jc w:val="both"/>
        <w:rPr>
          <w:rFonts w:ascii="Times New Roman" w:hAnsi="Times New Roman"/>
          <w:color w:val="000000"/>
          <w:sz w:val="20"/>
          <w:szCs w:val="20"/>
        </w:rPr>
      </w:pPr>
      <w:r>
        <w:rPr>
          <w:rFonts w:ascii="Times New Roman" w:hAnsi="Times New Roman"/>
          <w:color w:val="000000"/>
          <w:sz w:val="20"/>
          <w:szCs w:val="20"/>
        </w:rPr>
        <w:t>286 U.S. 210, 52 S.Ct. 559, 76 L.Ed. 1062, 86 A.L.R. 403</w:t>
      </w:r>
    </w:p>
    <w:p w14:paraId="57F5E935" w14:textId="77777777" w:rsidR="00000000" w:rsidRDefault="00896AE4">
      <w:pPr>
        <w:widowControl w:val="0"/>
        <w:autoSpaceDE w:val="0"/>
        <w:autoSpaceDN w:val="0"/>
        <w:adjustRightInd w:val="0"/>
        <w:spacing w:after="0" w:line="240" w:lineRule="auto"/>
        <w:rPr>
          <w:rFonts w:ascii="sans-serif" w:hAnsi="sans-serif" w:cs="sans-serif"/>
          <w:color w:val="000000"/>
          <w:sz w:val="24"/>
          <w:szCs w:val="24"/>
        </w:rPr>
      </w:pPr>
    </w:p>
    <w:p w14:paraId="100074E4" w14:textId="77777777" w:rsidR="00000000" w:rsidRDefault="00896AE4">
      <w:pPr>
        <w:widowControl w:val="0"/>
        <w:autoSpaceDE w:val="0"/>
        <w:autoSpaceDN w:val="0"/>
        <w:adjustRightInd w:val="0"/>
        <w:spacing w:after="0" w:line="240" w:lineRule="auto"/>
        <w:rPr>
          <w:rFonts w:ascii="Arial" w:hAnsi="Arial" w:cs="Arial"/>
          <w:sz w:val="24"/>
          <w:szCs w:val="24"/>
        </w:rPr>
        <w:sectPr w:rsidR="00000000">
          <w:type w:val="continuous"/>
          <w:pgSz w:w="12240" w:h="15840"/>
          <w:pgMar w:top="1080" w:right="1080" w:bottom="1080" w:left="1080" w:header="720" w:footer="720" w:gutter="0"/>
          <w:cols w:num="2" w:space="720"/>
          <w:noEndnote/>
        </w:sectPr>
      </w:pPr>
    </w:p>
    <w:tbl>
      <w:tblPr>
        <w:tblW w:w="0" w:type="auto"/>
        <w:tblLayout w:type="fixed"/>
        <w:tblCellMar>
          <w:left w:w="0" w:type="dxa"/>
          <w:right w:w="0" w:type="dxa"/>
        </w:tblCellMar>
        <w:tblLook w:val="0000" w:firstRow="0" w:lastRow="0" w:firstColumn="0" w:lastColumn="0" w:noHBand="0" w:noVBand="0"/>
      </w:tblPr>
      <w:tblGrid>
        <w:gridCol w:w="600"/>
        <w:gridCol w:w="9480"/>
      </w:tblGrid>
      <w:tr w:rsidR="00000000" w:rsidRPr="00896AE4" w14:paraId="549E391F" w14:textId="77777777">
        <w:tblPrEx>
          <w:tblCellMar>
            <w:top w:w="0" w:type="dxa"/>
            <w:left w:w="0" w:type="dxa"/>
            <w:bottom w:w="0" w:type="dxa"/>
            <w:right w:w="0" w:type="dxa"/>
          </w:tblCellMar>
        </w:tblPrEx>
        <w:tc>
          <w:tcPr>
            <w:tcW w:w="10080" w:type="dxa"/>
            <w:gridSpan w:val="2"/>
            <w:tcBorders>
              <w:top w:val="nil"/>
              <w:left w:val="nil"/>
              <w:bottom w:val="nil"/>
              <w:right w:val="nil"/>
            </w:tcBorders>
            <w:tcMar>
              <w:top w:w="200" w:type="dxa"/>
            </w:tcMar>
          </w:tcPr>
          <w:p w14:paraId="7C91121C" w14:textId="77777777" w:rsidR="00000000" w:rsidRPr="00896AE4" w:rsidRDefault="00896AE4">
            <w:pPr>
              <w:widowControl w:val="0"/>
              <w:autoSpaceDE w:val="0"/>
              <w:autoSpaceDN w:val="0"/>
              <w:adjustRightInd w:val="0"/>
              <w:spacing w:after="0" w:line="240" w:lineRule="auto"/>
              <w:rPr>
                <w:rFonts w:ascii="sans-serif" w:hAnsi="sans-serif" w:cs="sans-serif"/>
                <w:color w:val="000000"/>
                <w:sz w:val="20"/>
                <w:szCs w:val="20"/>
              </w:rPr>
            </w:pPr>
            <w:r w:rsidRPr="00896AE4">
              <w:rPr>
                <w:rFonts w:ascii="sans-serif" w:hAnsi="sans-serif" w:cs="sans-serif"/>
                <w:color w:val="000000"/>
                <w:sz w:val="20"/>
                <w:szCs w:val="20"/>
              </w:rPr>
              <w:t>Footnotes</w:t>
            </w:r>
          </w:p>
          <w:p w14:paraId="6470C0B8" w14:textId="77777777" w:rsidR="00000000" w:rsidRPr="00896AE4" w:rsidRDefault="00896AE4">
            <w:pPr>
              <w:widowControl w:val="0"/>
              <w:autoSpaceDE w:val="0"/>
              <w:autoSpaceDN w:val="0"/>
              <w:adjustRightInd w:val="0"/>
              <w:spacing w:after="0" w:line="240" w:lineRule="auto"/>
              <w:rPr>
                <w:rFonts w:ascii="sans-serif" w:hAnsi="sans-serif" w:cs="sans-serif"/>
                <w:color w:val="000000"/>
                <w:sz w:val="20"/>
                <w:szCs w:val="20"/>
              </w:rPr>
            </w:pPr>
          </w:p>
        </w:tc>
      </w:tr>
      <w:bookmarkStart w:id="138" w:name="co_footnote_B00111932122515_1"/>
      <w:bookmarkEnd w:id="138"/>
      <w:tr w:rsidR="00000000" w:rsidRPr="00896AE4" w14:paraId="0C5832BA" w14:textId="77777777">
        <w:tblPrEx>
          <w:tblCellMar>
            <w:top w:w="0" w:type="dxa"/>
            <w:left w:w="0" w:type="dxa"/>
            <w:bottom w:w="0" w:type="dxa"/>
            <w:right w:w="0" w:type="dxa"/>
          </w:tblCellMar>
        </w:tblPrEx>
        <w:tc>
          <w:tcPr>
            <w:tcW w:w="600" w:type="dxa"/>
            <w:tcBorders>
              <w:top w:val="nil"/>
              <w:left w:val="nil"/>
              <w:bottom w:val="nil"/>
              <w:right w:val="nil"/>
            </w:tcBorders>
          </w:tcPr>
          <w:p w14:paraId="550231C7" w14:textId="77777777" w:rsidR="00000000" w:rsidRPr="00896AE4" w:rsidRDefault="00896AE4">
            <w:pPr>
              <w:widowControl w:val="0"/>
              <w:autoSpaceDE w:val="0"/>
              <w:autoSpaceDN w:val="0"/>
              <w:adjustRightInd w:val="0"/>
              <w:spacing w:after="0" w:line="240" w:lineRule="auto"/>
              <w:rPr>
                <w:rFonts w:ascii="sans-serif" w:hAnsi="sans-serif" w:cs="sans-serif"/>
                <w:color w:val="000000"/>
                <w:sz w:val="24"/>
                <w:szCs w:val="24"/>
              </w:rPr>
            </w:pPr>
            <w:r w:rsidRPr="00896AE4">
              <w:rPr>
                <w:rFonts w:ascii="sans-serif" w:hAnsi="sans-serif" w:cs="sans-serif"/>
                <w:color w:val="000000"/>
                <w:sz w:val="24"/>
                <w:szCs w:val="24"/>
              </w:rPr>
              <w:lastRenderedPageBreak/>
              <w:fldChar w:fldCharType="begin"/>
            </w:r>
            <w:r w:rsidRPr="00896AE4">
              <w:rPr>
                <w:rFonts w:ascii="sans-serif" w:hAnsi="sans-serif" w:cs="sans-serif"/>
                <w:color w:val="000000"/>
                <w:sz w:val="24"/>
                <w:szCs w:val="24"/>
              </w:rPr>
              <w:instrText xml:space="preserve">HYPERLINK "#co_fnRef_B00111932122515_ID0EMVAG_1" </w:instrText>
            </w:r>
            <w:r w:rsidR="00C40BA5" w:rsidRPr="00896AE4">
              <w:rPr>
                <w:rFonts w:ascii="sans-serif" w:hAnsi="sans-serif" w:cs="sans-serif"/>
                <w:color w:val="000000"/>
                <w:sz w:val="24"/>
                <w:szCs w:val="24"/>
              </w:rPr>
            </w:r>
            <w:r w:rsidRPr="00896AE4">
              <w:rPr>
                <w:rFonts w:ascii="sans-serif" w:hAnsi="sans-serif" w:cs="sans-serif"/>
                <w:color w:val="000000"/>
                <w:sz w:val="24"/>
                <w:szCs w:val="24"/>
              </w:rPr>
              <w:fldChar w:fldCharType="separate"/>
            </w:r>
            <w:r w:rsidRPr="00896AE4">
              <w:rPr>
                <w:rFonts w:ascii="sans-serif" w:hAnsi="sans-serif" w:cs="sans-serif"/>
                <w:color w:val="0000FF"/>
                <w:sz w:val="24"/>
                <w:szCs w:val="24"/>
                <w:vertAlign w:val="superscript"/>
              </w:rPr>
              <w:t>1</w:t>
            </w:r>
            <w:r w:rsidRPr="00896AE4">
              <w:rPr>
                <w:rFonts w:ascii="sans-serif" w:hAnsi="sans-serif" w:cs="sans-serif"/>
                <w:color w:val="000000"/>
                <w:sz w:val="24"/>
                <w:szCs w:val="24"/>
              </w:rPr>
              <w:fldChar w:fldCharType="end"/>
            </w:r>
          </w:p>
          <w:p w14:paraId="503C7F20" w14:textId="77777777" w:rsidR="00000000" w:rsidRPr="00896AE4" w:rsidRDefault="00896AE4">
            <w:pPr>
              <w:widowControl w:val="0"/>
              <w:autoSpaceDE w:val="0"/>
              <w:autoSpaceDN w:val="0"/>
              <w:adjustRightInd w:val="0"/>
              <w:spacing w:after="0" w:line="240" w:lineRule="auto"/>
              <w:rPr>
                <w:rFonts w:ascii="sans-serif" w:hAnsi="sans-serif" w:cs="sans-serif"/>
                <w:color w:val="000000"/>
                <w:sz w:val="24"/>
                <w:szCs w:val="24"/>
              </w:rPr>
            </w:pPr>
          </w:p>
        </w:tc>
        <w:tc>
          <w:tcPr>
            <w:tcW w:w="9480" w:type="dxa"/>
            <w:tcBorders>
              <w:top w:val="nil"/>
              <w:left w:val="nil"/>
              <w:bottom w:val="nil"/>
              <w:right w:val="nil"/>
            </w:tcBorders>
          </w:tcPr>
          <w:p w14:paraId="3BE5D4AE" w14:textId="77777777" w:rsidR="00000000" w:rsidRPr="00896AE4" w:rsidRDefault="00896AE4">
            <w:pPr>
              <w:widowControl w:val="0"/>
              <w:autoSpaceDE w:val="0"/>
              <w:autoSpaceDN w:val="0"/>
              <w:adjustRightInd w:val="0"/>
              <w:spacing w:after="0" w:line="240" w:lineRule="auto"/>
              <w:jc w:val="both"/>
              <w:rPr>
                <w:rFonts w:ascii="sans-serif" w:hAnsi="sans-serif" w:cs="sans-serif"/>
                <w:color w:val="000000"/>
                <w:sz w:val="18"/>
                <w:szCs w:val="18"/>
              </w:rPr>
            </w:pPr>
            <w:r w:rsidRPr="00896AE4">
              <w:rPr>
                <w:rFonts w:ascii="sans-serif" w:hAnsi="sans-serif" w:cs="sans-serif"/>
                <w:color w:val="000000"/>
                <w:sz w:val="18"/>
                <w:szCs w:val="18"/>
              </w:rPr>
              <w:t>C. O. S. 1921, ss 7954-7963.</w:t>
            </w:r>
          </w:p>
          <w:p w14:paraId="7B1CD9D2" w14:textId="77777777" w:rsidR="00000000" w:rsidRPr="00896AE4" w:rsidRDefault="00896AE4">
            <w:pPr>
              <w:widowControl w:val="0"/>
              <w:autoSpaceDE w:val="0"/>
              <w:autoSpaceDN w:val="0"/>
              <w:adjustRightInd w:val="0"/>
              <w:spacing w:after="0" w:line="240" w:lineRule="auto"/>
              <w:jc w:val="both"/>
              <w:rPr>
                <w:rFonts w:ascii="sans-serif" w:hAnsi="sans-serif" w:cs="sans-serif"/>
                <w:color w:val="000000"/>
                <w:sz w:val="18"/>
                <w:szCs w:val="18"/>
              </w:rPr>
            </w:pPr>
            <w:r w:rsidRPr="00896AE4">
              <w:rPr>
                <w:rFonts w:ascii="sans-serif" w:hAnsi="sans-serif" w:cs="sans-serif"/>
                <w:color w:val="000000"/>
                <w:sz w:val="18"/>
                <w:szCs w:val="18"/>
              </w:rPr>
              <w:t>s 1. That the production of crude oil or petroleum in the State of Oklahoma, in such manner and under such conditions as to constitute waste, is hereby prohibited. (s 7954.)</w:t>
            </w:r>
          </w:p>
          <w:p w14:paraId="1CDD397D" w14:textId="77777777" w:rsidR="00000000" w:rsidRPr="00896AE4" w:rsidRDefault="00896AE4">
            <w:pPr>
              <w:widowControl w:val="0"/>
              <w:autoSpaceDE w:val="0"/>
              <w:autoSpaceDN w:val="0"/>
              <w:adjustRightInd w:val="0"/>
              <w:spacing w:after="0" w:line="240" w:lineRule="auto"/>
              <w:jc w:val="both"/>
              <w:rPr>
                <w:rFonts w:ascii="sans-serif" w:hAnsi="sans-serif" w:cs="sans-serif"/>
                <w:color w:val="000000"/>
                <w:sz w:val="18"/>
                <w:szCs w:val="18"/>
              </w:rPr>
            </w:pPr>
            <w:r w:rsidRPr="00896AE4">
              <w:rPr>
                <w:rFonts w:ascii="sans-serif" w:hAnsi="sans-serif" w:cs="sans-serif"/>
                <w:color w:val="000000"/>
                <w:sz w:val="18"/>
                <w:szCs w:val="18"/>
              </w:rPr>
              <w:t xml:space="preserve">s 2. That the taking of crude oil or petroleum from any oil-bearing sand or sands </w:t>
            </w:r>
            <w:r w:rsidRPr="00896AE4">
              <w:rPr>
                <w:rFonts w:ascii="sans-serif" w:hAnsi="sans-serif" w:cs="sans-serif"/>
                <w:color w:val="000000"/>
                <w:sz w:val="18"/>
                <w:szCs w:val="18"/>
              </w:rPr>
              <w:t>in the State of Oklahoma at a time when there is not a market demand therefor at the well at a price equivalent to the actual value of such crude oil or petroleum is hereby prohibited, and the actual value of such crude oil or petroleum at any time shall b</w:t>
            </w:r>
            <w:r w:rsidRPr="00896AE4">
              <w:rPr>
                <w:rFonts w:ascii="sans-serif" w:hAnsi="sans-serif" w:cs="sans-serif"/>
                <w:color w:val="000000"/>
                <w:sz w:val="18"/>
                <w:szCs w:val="18"/>
              </w:rPr>
              <w:t>e the average value as near as may be ascertained in the United States at retail of the byproducts of such crude oil or petroleum when refined less the cost and a reasonable profit in the business of transporting, refining and marketing the same, and the C</w:t>
            </w:r>
            <w:r w:rsidRPr="00896AE4">
              <w:rPr>
                <w:rFonts w:ascii="sans-serif" w:hAnsi="sans-serif" w:cs="sans-serif"/>
                <w:color w:val="000000"/>
                <w:sz w:val="18"/>
                <w:szCs w:val="18"/>
              </w:rPr>
              <w:t>orporation Commission of this State is hereby invested (sic) with the authority and power to investigate and determine from time to time the actual value of such crude oil or petroleum by the standard herein provided, and when so determined said Commission</w:t>
            </w:r>
            <w:r w:rsidRPr="00896AE4">
              <w:rPr>
                <w:rFonts w:ascii="sans-serif" w:hAnsi="sans-serif" w:cs="sans-serif"/>
                <w:color w:val="000000"/>
                <w:sz w:val="18"/>
                <w:szCs w:val="18"/>
              </w:rPr>
              <w:t xml:space="preserve"> shall promulgate its findings by its orders duly made and recorded, and publish the same in some newspaper of general circulation in the State. (s 7955.)</w:t>
            </w:r>
          </w:p>
          <w:p w14:paraId="6DF32EF9" w14:textId="77777777" w:rsidR="00000000" w:rsidRPr="00896AE4" w:rsidRDefault="00896AE4">
            <w:pPr>
              <w:widowControl w:val="0"/>
              <w:autoSpaceDE w:val="0"/>
              <w:autoSpaceDN w:val="0"/>
              <w:adjustRightInd w:val="0"/>
              <w:spacing w:after="0" w:line="240" w:lineRule="auto"/>
              <w:jc w:val="both"/>
              <w:rPr>
                <w:rFonts w:ascii="sans-serif" w:hAnsi="sans-serif" w:cs="sans-serif"/>
                <w:color w:val="000000"/>
                <w:sz w:val="18"/>
                <w:szCs w:val="18"/>
              </w:rPr>
            </w:pPr>
            <w:r w:rsidRPr="00896AE4">
              <w:rPr>
                <w:rFonts w:ascii="sans-serif" w:hAnsi="sans-serif" w:cs="sans-serif"/>
                <w:color w:val="000000"/>
                <w:sz w:val="18"/>
                <w:szCs w:val="18"/>
              </w:rPr>
              <w:t xml:space="preserve">s 3. That the term </w:t>
            </w:r>
            <w:r w:rsidRPr="00896AE4">
              <w:rPr>
                <w:rFonts w:ascii="sans-serif" w:hAnsi="sans-serif" w:cs="sans-serif"/>
                <w:color w:val="000000"/>
                <w:sz w:val="18"/>
                <w:szCs w:val="18"/>
              </w:rPr>
              <w:t>‘</w:t>
            </w:r>
            <w:r w:rsidRPr="00896AE4">
              <w:rPr>
                <w:rFonts w:ascii="sans-serif" w:hAnsi="sans-serif" w:cs="sans-serif"/>
                <w:color w:val="000000"/>
                <w:sz w:val="18"/>
                <w:szCs w:val="18"/>
              </w:rPr>
              <w:t>waste</w:t>
            </w:r>
            <w:r w:rsidRPr="00896AE4">
              <w:rPr>
                <w:rFonts w:ascii="sans-serif" w:hAnsi="sans-serif" w:cs="sans-serif"/>
                <w:color w:val="000000"/>
                <w:sz w:val="18"/>
                <w:szCs w:val="18"/>
              </w:rPr>
              <w:t>’</w:t>
            </w:r>
            <w:r w:rsidRPr="00896AE4">
              <w:rPr>
                <w:rFonts w:ascii="sans-serif" w:hAnsi="sans-serif" w:cs="sans-serif"/>
                <w:color w:val="000000"/>
                <w:sz w:val="18"/>
                <w:szCs w:val="18"/>
              </w:rPr>
              <w:t xml:space="preserve"> as used herein, in addition to its ordinary meaning, shall include economi</w:t>
            </w:r>
            <w:r w:rsidRPr="00896AE4">
              <w:rPr>
                <w:rFonts w:ascii="sans-serif" w:hAnsi="sans-serif" w:cs="sans-serif"/>
                <w:color w:val="000000"/>
                <w:sz w:val="18"/>
                <w:szCs w:val="18"/>
              </w:rPr>
              <w:t>c waste, underground waste, surface waste, and waste incident to the production of crude oil or petroleum in excess of transportation or marketing facilities or reasonable market demands. The Corporation Commission shall have authority to make rules and re</w:t>
            </w:r>
            <w:r w:rsidRPr="00896AE4">
              <w:rPr>
                <w:rFonts w:ascii="sans-serif" w:hAnsi="sans-serif" w:cs="sans-serif"/>
                <w:color w:val="000000"/>
                <w:sz w:val="18"/>
                <w:szCs w:val="18"/>
              </w:rPr>
              <w:t>gulations for the prevention of such wastes, and for the protection of all fresh water strata, and oil and gas bearing strata, encountered in any well drilled for oil. (s 7956.)</w:t>
            </w:r>
          </w:p>
          <w:p w14:paraId="255DFA00" w14:textId="77777777" w:rsidR="00000000" w:rsidRPr="00896AE4" w:rsidRDefault="00896AE4">
            <w:pPr>
              <w:widowControl w:val="0"/>
              <w:autoSpaceDE w:val="0"/>
              <w:autoSpaceDN w:val="0"/>
              <w:adjustRightInd w:val="0"/>
              <w:spacing w:after="0" w:line="240" w:lineRule="auto"/>
              <w:jc w:val="both"/>
              <w:rPr>
                <w:rFonts w:ascii="sans-serif" w:hAnsi="sans-serif" w:cs="sans-serif"/>
                <w:color w:val="000000"/>
                <w:sz w:val="18"/>
                <w:szCs w:val="18"/>
              </w:rPr>
            </w:pPr>
            <w:r w:rsidRPr="00896AE4">
              <w:rPr>
                <w:rFonts w:ascii="sans-serif" w:hAnsi="sans-serif" w:cs="sans-serif"/>
                <w:color w:val="000000"/>
                <w:sz w:val="18"/>
                <w:szCs w:val="18"/>
              </w:rPr>
              <w:t>s 4. That whenever the full production from any common source of supply of cru</w:t>
            </w:r>
            <w:r w:rsidRPr="00896AE4">
              <w:rPr>
                <w:rFonts w:ascii="sans-serif" w:hAnsi="sans-serif" w:cs="sans-serif"/>
                <w:color w:val="000000"/>
                <w:sz w:val="18"/>
                <w:szCs w:val="18"/>
              </w:rPr>
              <w:t>de oil or petroleum in this State can only be obtained under conditions constituting waste as herein defined, then any person, firm or corporation, having the right to drill into and produce oil from any such common source of supply, may take therefrom onl</w:t>
            </w:r>
            <w:r w:rsidRPr="00896AE4">
              <w:rPr>
                <w:rFonts w:ascii="sans-serif" w:hAnsi="sans-serif" w:cs="sans-serif"/>
                <w:color w:val="000000"/>
                <w:sz w:val="18"/>
                <w:szCs w:val="18"/>
              </w:rPr>
              <w:t>y such proportion of all crude oil and petroleum that may be produced therefrom, without waste, as the production of the well or wells of any such person, firm or corporation, bears to the total production of such common source of supply. The Corporation C</w:t>
            </w:r>
            <w:r w:rsidRPr="00896AE4">
              <w:rPr>
                <w:rFonts w:ascii="sans-serif" w:hAnsi="sans-serif" w:cs="sans-serif"/>
                <w:color w:val="000000"/>
                <w:sz w:val="18"/>
                <w:szCs w:val="18"/>
              </w:rPr>
              <w:t>ommission is authorized to so regulate the taking of crude oil or petroleum from any or all such common sources of supply, within the State of Oklahoma, as to prevent the inequitable or unfair taking, from a common source of supply, of such crude oil or pe</w:t>
            </w:r>
            <w:r w:rsidRPr="00896AE4">
              <w:rPr>
                <w:rFonts w:ascii="sans-serif" w:hAnsi="sans-serif" w:cs="sans-serif"/>
                <w:color w:val="000000"/>
                <w:sz w:val="18"/>
                <w:szCs w:val="18"/>
              </w:rPr>
              <w:t>troleum, by any person, firm, or corporation, and to prevent unreasonable discrimination in favor of any one such common source of supply as against another. (s 7957.)</w:t>
            </w:r>
          </w:p>
          <w:p w14:paraId="214C8913" w14:textId="77777777" w:rsidR="00000000" w:rsidRPr="00896AE4" w:rsidRDefault="00896AE4">
            <w:pPr>
              <w:widowControl w:val="0"/>
              <w:autoSpaceDE w:val="0"/>
              <w:autoSpaceDN w:val="0"/>
              <w:adjustRightInd w:val="0"/>
              <w:spacing w:after="0" w:line="240" w:lineRule="auto"/>
              <w:jc w:val="both"/>
              <w:rPr>
                <w:rFonts w:ascii="sans-serif" w:hAnsi="sans-serif" w:cs="sans-serif"/>
                <w:color w:val="000000"/>
                <w:sz w:val="18"/>
                <w:szCs w:val="18"/>
              </w:rPr>
            </w:pPr>
            <w:r w:rsidRPr="00896AE4">
              <w:rPr>
                <w:rFonts w:ascii="sans-serif" w:hAnsi="sans-serif" w:cs="sans-serif"/>
                <w:color w:val="000000"/>
                <w:sz w:val="18"/>
                <w:szCs w:val="18"/>
              </w:rPr>
              <w:t xml:space="preserve">s 5. That for the purpose of determining such production, a gauge of each well shall be </w:t>
            </w:r>
            <w:r w:rsidRPr="00896AE4">
              <w:rPr>
                <w:rFonts w:ascii="sans-serif" w:hAnsi="sans-serif" w:cs="sans-serif"/>
                <w:color w:val="000000"/>
                <w:sz w:val="18"/>
                <w:szCs w:val="18"/>
              </w:rPr>
              <w:t>taken under rules and regulations to be prescribed by the Corporation Commission, and said Commission is authorized and directed to make and promulgate, by proper order, such other rules and regulations, and to employ or appoint such agents with the consen</w:t>
            </w:r>
            <w:r w:rsidRPr="00896AE4">
              <w:rPr>
                <w:rFonts w:ascii="sans-serif" w:hAnsi="sans-serif" w:cs="sans-serif"/>
                <w:color w:val="000000"/>
                <w:sz w:val="18"/>
                <w:szCs w:val="18"/>
              </w:rPr>
              <w:t>t of the Governor, as may be necessary to enforce this act. (s 7958).</w:t>
            </w:r>
          </w:p>
          <w:p w14:paraId="103364CA" w14:textId="77777777" w:rsidR="00000000" w:rsidRPr="00896AE4" w:rsidRDefault="00896AE4">
            <w:pPr>
              <w:widowControl w:val="0"/>
              <w:autoSpaceDE w:val="0"/>
              <w:autoSpaceDN w:val="0"/>
              <w:adjustRightInd w:val="0"/>
              <w:spacing w:after="0" w:line="240" w:lineRule="auto"/>
              <w:jc w:val="both"/>
              <w:rPr>
                <w:rFonts w:ascii="sans-serif" w:hAnsi="sans-serif" w:cs="sans-serif"/>
                <w:color w:val="000000"/>
                <w:sz w:val="18"/>
                <w:szCs w:val="18"/>
              </w:rPr>
            </w:pPr>
            <w:r w:rsidRPr="00896AE4">
              <w:rPr>
                <w:rFonts w:ascii="sans-serif" w:hAnsi="sans-serif" w:cs="sans-serif"/>
                <w:color w:val="000000"/>
                <w:sz w:val="18"/>
                <w:szCs w:val="18"/>
              </w:rPr>
              <w:t>s 6. That any person, firm, or corporation, or the Attorney General on behalf of the State, may institute proceedings before the Corporation Commission, or apply for a hearing before sai</w:t>
            </w:r>
            <w:r w:rsidRPr="00896AE4">
              <w:rPr>
                <w:rFonts w:ascii="sans-serif" w:hAnsi="sans-serif" w:cs="sans-serif"/>
                <w:color w:val="000000"/>
                <w:sz w:val="18"/>
                <w:szCs w:val="18"/>
              </w:rPr>
              <w:t>d Commission, upon any question relating to the enforcement of this act, and jurisdiction is hereby conferred upon said Commission to hear and determine the same. Said Commission shall set a time and place, when and where such hearing shall be had and give</w:t>
            </w:r>
            <w:r w:rsidRPr="00896AE4">
              <w:rPr>
                <w:rFonts w:ascii="sans-serif" w:hAnsi="sans-serif" w:cs="sans-serif"/>
                <w:color w:val="000000"/>
                <w:sz w:val="18"/>
                <w:szCs w:val="18"/>
              </w:rPr>
              <w:t xml:space="preserve"> reasonable notice thereof to all persons or classes interested therein, by publication in some newspaper or newspapers, having general circulation in the State, and in addition thereto, shall cause reasonable notice in writing to be served personally on a</w:t>
            </w:r>
            <w:r w:rsidRPr="00896AE4">
              <w:rPr>
                <w:rFonts w:ascii="sans-serif" w:hAnsi="sans-serif" w:cs="sans-serif"/>
                <w:color w:val="000000"/>
                <w:sz w:val="18"/>
                <w:szCs w:val="18"/>
              </w:rPr>
              <w:t>ny person, firm or corporation complained against. In the exercise and enforcement of such jurisdiction, said Commission is authorized to determine any question or fact, arising hereunder, and to summon witnesses, make ancillary orders, and use mesne and f</w:t>
            </w:r>
            <w:r w:rsidRPr="00896AE4">
              <w:rPr>
                <w:rFonts w:ascii="sans-serif" w:hAnsi="sans-serif" w:cs="sans-serif"/>
                <w:color w:val="000000"/>
                <w:sz w:val="18"/>
                <w:szCs w:val="18"/>
              </w:rPr>
              <w:t>inal process, including inspection and punishment as for contempt, analogous to proceedings under its control over public service corporations, as now provided by law. (s 7959.)</w:t>
            </w:r>
          </w:p>
          <w:p w14:paraId="1EAE466B" w14:textId="77777777" w:rsidR="00000000" w:rsidRPr="00896AE4" w:rsidRDefault="00896AE4">
            <w:pPr>
              <w:widowControl w:val="0"/>
              <w:autoSpaceDE w:val="0"/>
              <w:autoSpaceDN w:val="0"/>
              <w:adjustRightInd w:val="0"/>
              <w:spacing w:after="0" w:line="240" w:lineRule="auto"/>
              <w:jc w:val="both"/>
              <w:rPr>
                <w:rFonts w:ascii="sans-serif" w:hAnsi="sans-serif" w:cs="sans-serif"/>
                <w:color w:val="000000"/>
                <w:sz w:val="18"/>
                <w:szCs w:val="18"/>
              </w:rPr>
            </w:pPr>
            <w:r w:rsidRPr="00896AE4">
              <w:rPr>
                <w:rFonts w:ascii="sans-serif" w:hAnsi="sans-serif" w:cs="sans-serif"/>
                <w:color w:val="000000"/>
                <w:sz w:val="18"/>
                <w:szCs w:val="18"/>
              </w:rPr>
              <w:t>s 7. That appellate jurisdiction is hereby conferred upon the Supreme Court in</w:t>
            </w:r>
            <w:r w:rsidRPr="00896AE4">
              <w:rPr>
                <w:rFonts w:ascii="sans-serif" w:hAnsi="sans-serif" w:cs="sans-serif"/>
                <w:color w:val="000000"/>
                <w:sz w:val="18"/>
                <w:szCs w:val="18"/>
              </w:rPr>
              <w:t xml:space="preserve"> this State to review the action of said Commission in making any order, or orders, under this act. Such appeal may be taken by any person, firm or corporation, shown by the record to be interested therein, in the same manner and time as appeals are allowe</w:t>
            </w:r>
            <w:r w:rsidRPr="00896AE4">
              <w:rPr>
                <w:rFonts w:ascii="sans-serif" w:hAnsi="sans-serif" w:cs="sans-serif"/>
                <w:color w:val="000000"/>
                <w:sz w:val="18"/>
                <w:szCs w:val="18"/>
              </w:rPr>
              <w:t>d by law from other orders of the Corporation Commission. Said orders so appealed from shall not be superseded by the mere fact of such appeal being taken, but shall be and remain in full force and effect until legally suspended or set aside by the Supreme</w:t>
            </w:r>
            <w:r w:rsidRPr="00896AE4">
              <w:rPr>
                <w:rFonts w:ascii="sans-serif" w:hAnsi="sans-serif" w:cs="sans-serif"/>
                <w:color w:val="000000"/>
                <w:sz w:val="18"/>
                <w:szCs w:val="18"/>
              </w:rPr>
              <w:t xml:space="preserve"> Court. (s 7960.)</w:t>
            </w:r>
          </w:p>
          <w:p w14:paraId="1ED030B8" w14:textId="77777777" w:rsidR="00000000" w:rsidRPr="00896AE4" w:rsidRDefault="00896AE4">
            <w:pPr>
              <w:widowControl w:val="0"/>
              <w:autoSpaceDE w:val="0"/>
              <w:autoSpaceDN w:val="0"/>
              <w:adjustRightInd w:val="0"/>
              <w:spacing w:after="0" w:line="240" w:lineRule="auto"/>
              <w:jc w:val="both"/>
              <w:rPr>
                <w:rFonts w:ascii="sans-serif" w:hAnsi="sans-serif" w:cs="sans-serif"/>
                <w:color w:val="000000"/>
                <w:sz w:val="18"/>
                <w:szCs w:val="18"/>
              </w:rPr>
            </w:pPr>
            <w:r w:rsidRPr="00896AE4">
              <w:rPr>
                <w:rFonts w:ascii="sans-serif" w:hAnsi="sans-serif" w:cs="sans-serif"/>
                <w:color w:val="000000"/>
                <w:sz w:val="18"/>
                <w:szCs w:val="18"/>
              </w:rPr>
              <w:t>s 8. That in addition to any penalty that may be imposed by the Corporation Commission for contempt, any person, firm, or corporation, or any officer, agent or employee thereof, directly or indirectly violating the provisions of this act,</w:t>
            </w:r>
            <w:r w:rsidRPr="00896AE4">
              <w:rPr>
                <w:rFonts w:ascii="sans-serif" w:hAnsi="sans-serif" w:cs="sans-serif"/>
                <w:color w:val="000000"/>
                <w:sz w:val="18"/>
                <w:szCs w:val="18"/>
              </w:rPr>
              <w:t xml:space="preserve"> shall be guilty of a misdemeanor, and upon conviction thereof, in a court of competent jurisdiction, shall be punished by a fine in any sum not to exceed five thousand dollars ($5,000.00), or by imprisonment in the county jail not to exceed thirty (30) da</w:t>
            </w:r>
            <w:r w:rsidRPr="00896AE4">
              <w:rPr>
                <w:rFonts w:ascii="sans-serif" w:hAnsi="sans-serif" w:cs="sans-serif"/>
                <w:color w:val="000000"/>
                <w:sz w:val="18"/>
                <w:szCs w:val="18"/>
              </w:rPr>
              <w:t>ys, or by both fine and imprisonment. (s 7961.)</w:t>
            </w:r>
          </w:p>
          <w:p w14:paraId="33E9BF03" w14:textId="77777777" w:rsidR="00000000" w:rsidRPr="00896AE4" w:rsidRDefault="00896AE4">
            <w:pPr>
              <w:widowControl w:val="0"/>
              <w:autoSpaceDE w:val="0"/>
              <w:autoSpaceDN w:val="0"/>
              <w:adjustRightInd w:val="0"/>
              <w:spacing w:after="0" w:line="240" w:lineRule="auto"/>
              <w:jc w:val="both"/>
              <w:rPr>
                <w:rFonts w:ascii="sans-serif" w:hAnsi="sans-serif" w:cs="sans-serif"/>
                <w:color w:val="000000"/>
                <w:sz w:val="18"/>
                <w:szCs w:val="18"/>
              </w:rPr>
            </w:pPr>
            <w:r w:rsidRPr="00896AE4">
              <w:rPr>
                <w:rFonts w:ascii="sans-serif" w:hAnsi="sans-serif" w:cs="sans-serif"/>
                <w:color w:val="000000"/>
                <w:sz w:val="18"/>
                <w:szCs w:val="18"/>
              </w:rPr>
              <w:t>s 9. That in addition to any penalty imposed under the preceding section, any person, firm or corporation, violating the provisions of producing property be subject to have his or its producing property place</w:t>
            </w:r>
            <w:r w:rsidRPr="00896AE4">
              <w:rPr>
                <w:rFonts w:ascii="sans-serif" w:hAnsi="sans-serif" w:cs="sans-serif"/>
                <w:color w:val="000000"/>
                <w:sz w:val="18"/>
                <w:szCs w:val="18"/>
              </w:rPr>
              <w:t>d in the hands of a receiver by a court of competent jurisdiction, at the suit of the State through the Attorney General, or any county attorney, but such receivership shall only extend to the operating of producing wells and the marketing of the productio</w:t>
            </w:r>
            <w:r w:rsidRPr="00896AE4">
              <w:rPr>
                <w:rFonts w:ascii="sans-serif" w:hAnsi="sans-serif" w:cs="sans-serif"/>
                <w:color w:val="000000"/>
                <w:sz w:val="18"/>
                <w:szCs w:val="18"/>
              </w:rPr>
              <w:t>n thereof, under the provisions of this act. (s 7962.)</w:t>
            </w:r>
          </w:p>
          <w:p w14:paraId="2951AA76" w14:textId="77777777" w:rsidR="00000000" w:rsidRPr="00896AE4" w:rsidRDefault="00896AE4">
            <w:pPr>
              <w:widowControl w:val="0"/>
              <w:autoSpaceDE w:val="0"/>
              <w:autoSpaceDN w:val="0"/>
              <w:adjustRightInd w:val="0"/>
              <w:spacing w:after="0" w:line="240" w:lineRule="auto"/>
              <w:jc w:val="both"/>
              <w:rPr>
                <w:rFonts w:ascii="sans-serif" w:hAnsi="sans-serif" w:cs="sans-serif"/>
                <w:color w:val="000000"/>
                <w:sz w:val="18"/>
                <w:szCs w:val="18"/>
              </w:rPr>
            </w:pPr>
            <w:r w:rsidRPr="00896AE4">
              <w:rPr>
                <w:rFonts w:ascii="sans-serif" w:hAnsi="sans-serif" w:cs="sans-serif"/>
                <w:color w:val="000000"/>
                <w:sz w:val="18"/>
                <w:szCs w:val="18"/>
              </w:rPr>
              <w:t>s 10. That the invalidity of any section, sub-division, clause or sentence of this act shall not in any manner effect (sic) the validity of the remaining portion thereof. (s 7963.)</w:t>
            </w:r>
          </w:p>
          <w:p w14:paraId="3D053893" w14:textId="77777777" w:rsidR="00000000" w:rsidRPr="00896AE4" w:rsidRDefault="00896AE4">
            <w:pPr>
              <w:widowControl w:val="0"/>
              <w:autoSpaceDE w:val="0"/>
              <w:autoSpaceDN w:val="0"/>
              <w:adjustRightInd w:val="0"/>
              <w:spacing w:after="0" w:line="240" w:lineRule="auto"/>
              <w:jc w:val="both"/>
              <w:rPr>
                <w:rFonts w:ascii="sans-serif" w:hAnsi="sans-serif" w:cs="sans-serif"/>
                <w:color w:val="000000"/>
                <w:sz w:val="18"/>
                <w:szCs w:val="18"/>
              </w:rPr>
            </w:pPr>
          </w:p>
        </w:tc>
      </w:tr>
    </w:tbl>
    <w:p w14:paraId="2E9EBC73" w14:textId="77777777" w:rsidR="00000000" w:rsidRDefault="00896AE4">
      <w:pPr>
        <w:widowControl w:val="0"/>
        <w:autoSpaceDE w:val="0"/>
        <w:autoSpaceDN w:val="0"/>
        <w:adjustRightInd w:val="0"/>
        <w:spacing w:after="0" w:line="240" w:lineRule="auto"/>
        <w:rPr>
          <w:rFonts w:ascii="Arial" w:hAnsi="Arial" w:cs="Arial"/>
          <w:sz w:val="24"/>
          <w:szCs w:val="24"/>
        </w:rPr>
      </w:pPr>
    </w:p>
    <w:p w14:paraId="1AB04812" w14:textId="77777777" w:rsidR="00000000" w:rsidRDefault="00896AE4">
      <w:pPr>
        <w:widowControl w:val="0"/>
        <w:autoSpaceDE w:val="0"/>
        <w:autoSpaceDN w:val="0"/>
        <w:adjustRightInd w:val="0"/>
        <w:spacing w:after="0" w:line="240" w:lineRule="auto"/>
        <w:rPr>
          <w:rFonts w:ascii="Times New Roman" w:hAnsi="Times New Roman"/>
          <w:color w:val="000000"/>
          <w:sz w:val="24"/>
          <w:szCs w:val="24"/>
        </w:rPr>
      </w:pPr>
    </w:p>
    <w:p w14:paraId="77C9882B" w14:textId="77777777" w:rsidR="00000000" w:rsidRDefault="00896AE4">
      <w:pPr>
        <w:widowControl w:val="0"/>
        <w:autoSpaceDE w:val="0"/>
        <w:autoSpaceDN w:val="0"/>
        <w:adjustRightInd w:val="0"/>
        <w:spacing w:after="0" w:line="240" w:lineRule="auto"/>
        <w:rPr>
          <w:rFonts w:ascii="Arial" w:hAnsi="Arial" w:cs="Arial"/>
          <w:sz w:val="24"/>
          <w:szCs w:val="24"/>
        </w:rPr>
        <w:sectPr w:rsidR="00000000">
          <w:type w:val="continuous"/>
          <w:pgSz w:w="12240" w:h="15840"/>
          <w:pgMar w:top="1080" w:right="1080" w:bottom="1080" w:left="1080" w:header="720" w:footer="720" w:gutter="0"/>
          <w:cols w:space="720"/>
          <w:noEndnote/>
        </w:sectPr>
      </w:pPr>
    </w:p>
    <w:p w14:paraId="0979CB37" w14:textId="77777777" w:rsidR="00000000" w:rsidRDefault="00896AE4">
      <w:pPr>
        <w:widowControl w:val="0"/>
        <w:autoSpaceDE w:val="0"/>
        <w:autoSpaceDN w:val="0"/>
        <w:adjustRightInd w:val="0"/>
        <w:spacing w:after="0" w:line="240" w:lineRule="auto"/>
        <w:rPr>
          <w:rFonts w:ascii="sans-serif" w:hAnsi="sans-serif" w:cs="sans-serif"/>
          <w:color w:val="000000"/>
          <w:sz w:val="24"/>
          <w:szCs w:val="24"/>
        </w:rPr>
      </w:pPr>
    </w:p>
    <w:p w14:paraId="2075BE8C" w14:textId="77777777" w:rsidR="00000000" w:rsidRDefault="00896AE4">
      <w:pPr>
        <w:widowControl w:val="0"/>
        <w:autoSpaceDE w:val="0"/>
        <w:autoSpaceDN w:val="0"/>
        <w:adjustRightInd w:val="0"/>
        <w:spacing w:after="0" w:line="240" w:lineRule="auto"/>
        <w:rPr>
          <w:rFonts w:ascii="Arial" w:hAnsi="Arial" w:cs="Arial"/>
          <w:sz w:val="24"/>
          <w:szCs w:val="24"/>
        </w:rPr>
        <w:sectPr w:rsidR="00000000">
          <w:type w:val="continuous"/>
          <w:pgSz w:w="12240" w:h="15840"/>
          <w:pgMar w:top="1080" w:right="1080" w:bottom="1080" w:left="1080" w:header="720" w:footer="720" w:gutter="0"/>
          <w:cols w:num="2" w:space="720"/>
          <w:noEndnote/>
        </w:sectPr>
      </w:pPr>
    </w:p>
    <w:tbl>
      <w:tblPr>
        <w:tblW w:w="0" w:type="auto"/>
        <w:tblInd w:w="24" w:type="dxa"/>
        <w:tblLayout w:type="fixed"/>
        <w:tblCellMar>
          <w:left w:w="0" w:type="dxa"/>
          <w:right w:w="0" w:type="dxa"/>
        </w:tblCellMar>
        <w:tblLook w:val="0000" w:firstRow="0" w:lastRow="0" w:firstColumn="0" w:lastColumn="0" w:noHBand="0" w:noVBand="0"/>
      </w:tblPr>
      <w:tblGrid>
        <w:gridCol w:w="4320"/>
        <w:gridCol w:w="5760"/>
      </w:tblGrid>
      <w:tr w:rsidR="00000000" w:rsidRPr="00896AE4" w14:paraId="27855FBC" w14:textId="77777777">
        <w:tblPrEx>
          <w:tblCellMar>
            <w:top w:w="0" w:type="dxa"/>
            <w:left w:w="0" w:type="dxa"/>
            <w:bottom w:w="0" w:type="dxa"/>
            <w:right w:w="0" w:type="dxa"/>
          </w:tblCellMar>
        </w:tblPrEx>
        <w:tc>
          <w:tcPr>
            <w:tcW w:w="4320" w:type="dxa"/>
            <w:tcBorders>
              <w:top w:val="single" w:sz="4" w:space="0" w:color="777777"/>
              <w:left w:val="nil"/>
              <w:bottom w:val="nil"/>
              <w:right w:val="nil"/>
            </w:tcBorders>
            <w:tcMar>
              <w:top w:w="100" w:type="dxa"/>
              <w:left w:w="24" w:type="dxa"/>
              <w:right w:w="24" w:type="dxa"/>
            </w:tcMar>
          </w:tcPr>
          <w:p w14:paraId="601BB1DC" w14:textId="77777777" w:rsidR="00000000" w:rsidRPr="00896AE4" w:rsidRDefault="00896AE4">
            <w:pPr>
              <w:widowControl w:val="0"/>
              <w:autoSpaceDE w:val="0"/>
              <w:autoSpaceDN w:val="0"/>
              <w:adjustRightInd w:val="0"/>
              <w:spacing w:after="0" w:line="240" w:lineRule="auto"/>
              <w:ind w:left="24" w:right="24"/>
              <w:rPr>
                <w:rFonts w:ascii="sans-serif" w:hAnsi="sans-serif" w:cs="sans-serif"/>
                <w:b/>
                <w:bCs/>
                <w:color w:val="777777"/>
                <w:sz w:val="16"/>
                <w:szCs w:val="16"/>
              </w:rPr>
            </w:pPr>
            <w:r w:rsidRPr="00896AE4">
              <w:rPr>
                <w:rFonts w:ascii="sans-serif" w:hAnsi="sans-serif" w:cs="sans-serif"/>
                <w:b/>
                <w:bCs/>
                <w:color w:val="777777"/>
                <w:sz w:val="16"/>
                <w:szCs w:val="16"/>
              </w:rPr>
              <w:t>End of Document</w:t>
            </w:r>
          </w:p>
          <w:p w14:paraId="21833D2F" w14:textId="77777777" w:rsidR="00000000" w:rsidRPr="00896AE4" w:rsidRDefault="00896AE4">
            <w:pPr>
              <w:widowControl w:val="0"/>
              <w:autoSpaceDE w:val="0"/>
              <w:autoSpaceDN w:val="0"/>
              <w:adjustRightInd w:val="0"/>
              <w:spacing w:after="0" w:line="240" w:lineRule="auto"/>
              <w:ind w:left="24" w:right="24"/>
              <w:rPr>
                <w:rFonts w:ascii="sans-serif" w:hAnsi="sans-serif" w:cs="sans-serif"/>
                <w:b/>
                <w:bCs/>
                <w:color w:val="777777"/>
                <w:sz w:val="16"/>
                <w:szCs w:val="16"/>
              </w:rPr>
            </w:pPr>
          </w:p>
        </w:tc>
        <w:tc>
          <w:tcPr>
            <w:tcW w:w="5760" w:type="dxa"/>
            <w:tcBorders>
              <w:top w:val="single" w:sz="4" w:space="0" w:color="777777"/>
              <w:left w:val="nil"/>
              <w:bottom w:val="nil"/>
              <w:right w:val="nil"/>
            </w:tcBorders>
            <w:tcMar>
              <w:top w:w="100" w:type="dxa"/>
              <w:left w:w="24" w:type="dxa"/>
              <w:right w:w="24" w:type="dxa"/>
            </w:tcMar>
          </w:tcPr>
          <w:p w14:paraId="42CEFC01" w14:textId="77777777" w:rsidR="00000000" w:rsidRPr="00896AE4" w:rsidRDefault="00896AE4">
            <w:pPr>
              <w:widowControl w:val="0"/>
              <w:autoSpaceDE w:val="0"/>
              <w:autoSpaceDN w:val="0"/>
              <w:adjustRightInd w:val="0"/>
              <w:spacing w:after="0" w:line="240" w:lineRule="auto"/>
              <w:ind w:left="24" w:right="24"/>
              <w:jc w:val="right"/>
              <w:rPr>
                <w:rFonts w:ascii="sans-serif" w:hAnsi="sans-serif" w:cs="sans-serif"/>
                <w:color w:val="777777"/>
                <w:sz w:val="16"/>
                <w:szCs w:val="16"/>
              </w:rPr>
            </w:pPr>
            <w:r w:rsidRPr="00896AE4">
              <w:rPr>
                <w:rFonts w:ascii="sans-serif" w:hAnsi="sans-serif" w:cs="sans-serif"/>
                <w:color w:val="777777"/>
                <w:sz w:val="16"/>
                <w:szCs w:val="16"/>
              </w:rPr>
              <w:t>©</w:t>
            </w:r>
            <w:r w:rsidRPr="00896AE4">
              <w:rPr>
                <w:rFonts w:ascii="sans-serif" w:hAnsi="sans-serif" w:cs="sans-serif"/>
                <w:color w:val="777777"/>
                <w:sz w:val="16"/>
                <w:szCs w:val="16"/>
              </w:rPr>
              <w:t xml:space="preserve"> 2020 Thomson Reuters. No claim to original U.S. Government Works.</w:t>
            </w:r>
          </w:p>
          <w:p w14:paraId="19A69A97" w14:textId="77777777" w:rsidR="00000000" w:rsidRPr="00896AE4" w:rsidRDefault="00896AE4">
            <w:pPr>
              <w:widowControl w:val="0"/>
              <w:autoSpaceDE w:val="0"/>
              <w:autoSpaceDN w:val="0"/>
              <w:adjustRightInd w:val="0"/>
              <w:spacing w:after="0" w:line="240" w:lineRule="auto"/>
              <w:ind w:left="24" w:right="24"/>
              <w:jc w:val="right"/>
              <w:rPr>
                <w:rFonts w:ascii="sans-serif" w:hAnsi="sans-serif" w:cs="sans-serif"/>
                <w:color w:val="777777"/>
                <w:sz w:val="16"/>
                <w:szCs w:val="16"/>
              </w:rPr>
            </w:pPr>
          </w:p>
        </w:tc>
      </w:tr>
    </w:tbl>
    <w:p w14:paraId="42B670B6" w14:textId="77777777" w:rsidR="00000000" w:rsidRDefault="00896AE4">
      <w:pPr>
        <w:widowControl w:val="0"/>
        <w:autoSpaceDE w:val="0"/>
        <w:autoSpaceDN w:val="0"/>
        <w:adjustRightInd w:val="0"/>
        <w:spacing w:after="0" w:line="240" w:lineRule="auto"/>
        <w:rPr>
          <w:rFonts w:ascii="Arial" w:hAnsi="Arial" w:cs="Arial"/>
          <w:sz w:val="24"/>
          <w:szCs w:val="24"/>
        </w:rPr>
      </w:pPr>
    </w:p>
    <w:p w14:paraId="6C0EBF8B" w14:textId="77777777" w:rsidR="00000000" w:rsidRDefault="00896AE4">
      <w:pPr>
        <w:widowControl w:val="0"/>
        <w:autoSpaceDE w:val="0"/>
        <w:autoSpaceDN w:val="0"/>
        <w:adjustRightInd w:val="0"/>
        <w:spacing w:after="0" w:line="240" w:lineRule="auto"/>
        <w:rPr>
          <w:rFonts w:ascii="Times New Roman" w:hAnsi="Times New Roman"/>
          <w:color w:val="000000"/>
          <w:sz w:val="24"/>
          <w:szCs w:val="24"/>
        </w:rPr>
      </w:pPr>
    </w:p>
    <w:p w14:paraId="0CD73800" w14:textId="77777777" w:rsidR="00000000" w:rsidRDefault="00896AE4">
      <w:pPr>
        <w:widowControl w:val="0"/>
        <w:autoSpaceDE w:val="0"/>
        <w:autoSpaceDN w:val="0"/>
        <w:adjustRightInd w:val="0"/>
        <w:spacing w:after="0" w:line="240" w:lineRule="auto"/>
        <w:rPr>
          <w:rFonts w:ascii="Arial" w:hAnsi="Arial" w:cs="Arial"/>
          <w:sz w:val="24"/>
          <w:szCs w:val="24"/>
        </w:rPr>
        <w:sectPr w:rsidR="00000000">
          <w:type w:val="continuous"/>
          <w:pgSz w:w="12240" w:h="15840"/>
          <w:pgMar w:top="1080" w:right="1080" w:bottom="1080" w:left="1080" w:header="720" w:footer="720" w:gutter="0"/>
          <w:cols w:space="720"/>
          <w:noEndnote/>
        </w:sectPr>
      </w:pPr>
    </w:p>
    <w:p w14:paraId="378C1F42" w14:textId="77777777" w:rsidR="00896AE4" w:rsidRDefault="00896AE4">
      <w:pPr>
        <w:widowControl w:val="0"/>
        <w:autoSpaceDE w:val="0"/>
        <w:autoSpaceDN w:val="0"/>
        <w:adjustRightInd w:val="0"/>
        <w:spacing w:after="0" w:line="240" w:lineRule="auto"/>
        <w:rPr>
          <w:rFonts w:ascii="Arial" w:hAnsi="Arial" w:cs="Arial"/>
          <w:sz w:val="24"/>
          <w:szCs w:val="24"/>
        </w:rPr>
      </w:pPr>
    </w:p>
    <w:sectPr w:rsidR="00896AE4">
      <w:type w:val="continuous"/>
      <w:pgSz w:w="12240" w:h="15840"/>
      <w:pgMar w:top="1080" w:right="1080" w:bottom="1080" w:left="1080" w:header="720" w:footer="720" w:gutter="0"/>
      <w:cols w:num="2"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B156F9" w14:textId="77777777" w:rsidR="00896AE4" w:rsidRDefault="00896AE4">
      <w:pPr>
        <w:spacing w:after="0" w:line="240" w:lineRule="auto"/>
      </w:pPr>
      <w:r>
        <w:separator/>
      </w:r>
    </w:p>
  </w:endnote>
  <w:endnote w:type="continuationSeparator" w:id="0">
    <w:p w14:paraId="3B451D69" w14:textId="77777777" w:rsidR="00896AE4" w:rsidRDefault="00896A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ans-serif">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CellMar>
        <w:left w:w="0" w:type="dxa"/>
        <w:right w:w="0" w:type="dxa"/>
      </w:tblCellMar>
      <w:tblLook w:val="0000" w:firstRow="0" w:lastRow="0" w:firstColumn="0" w:lastColumn="0" w:noHBand="0" w:noVBand="0"/>
    </w:tblPr>
    <w:tblGrid>
      <w:gridCol w:w="9300"/>
      <w:gridCol w:w="700"/>
    </w:tblGrid>
    <w:tr w:rsidR="00000000" w:rsidRPr="00896AE4" w14:paraId="18845936" w14:textId="77777777">
      <w:tblPrEx>
        <w:tblCellMar>
          <w:top w:w="0" w:type="dxa"/>
          <w:left w:w="0" w:type="dxa"/>
          <w:bottom w:w="0" w:type="dxa"/>
          <w:right w:w="0" w:type="dxa"/>
        </w:tblCellMar>
      </w:tblPrEx>
      <w:tc>
        <w:tcPr>
          <w:tcW w:w="9300" w:type="dxa"/>
          <w:tcBorders>
            <w:top w:val="single" w:sz="8" w:space="0" w:color="AAAAAA"/>
            <w:left w:val="nil"/>
            <w:bottom w:val="nil"/>
            <w:right w:val="nil"/>
          </w:tcBorders>
          <w:tcMar>
            <w:top w:w="60" w:type="dxa"/>
          </w:tcMar>
          <w:vAlign w:val="bottom"/>
        </w:tcPr>
        <w:p w14:paraId="0225E870" w14:textId="77777777" w:rsidR="00000000" w:rsidRPr="00896AE4" w:rsidRDefault="00896AE4">
          <w:pPr>
            <w:widowControl w:val="0"/>
            <w:autoSpaceDE w:val="0"/>
            <w:autoSpaceDN w:val="0"/>
            <w:adjustRightInd w:val="0"/>
            <w:spacing w:after="0" w:line="240" w:lineRule="auto"/>
            <w:rPr>
              <w:rFonts w:ascii="Arial" w:hAnsi="Arial" w:cs="Arial"/>
              <w:color w:val="AAAAAA"/>
              <w:sz w:val="20"/>
              <w:szCs w:val="20"/>
            </w:rPr>
          </w:pPr>
          <w:r w:rsidRPr="00896AE4">
            <w:rPr>
              <w:rFonts w:ascii="Arial" w:hAnsi="Arial" w:cs="Arial"/>
              <w:color w:val="AAAAAA"/>
              <w:sz w:val="20"/>
              <w:szCs w:val="20"/>
            </w:rPr>
            <w:pict w14:anchorId="3138C5C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58.5pt;height:7.5pt">
                <v:imagedata r:id="rId1" o:title=""/>
              </v:shape>
            </w:pict>
          </w:r>
          <w:r w:rsidRPr="00896AE4">
            <w:rPr>
              <w:rFonts w:ascii="Arial" w:hAnsi="Arial" w:cs="Arial"/>
              <w:color w:val="AAAAAA"/>
              <w:sz w:val="20"/>
              <w:szCs w:val="20"/>
            </w:rPr>
            <w:t xml:space="preserve"> </w:t>
          </w:r>
          <w:r w:rsidRPr="00896AE4">
            <w:rPr>
              <w:rFonts w:ascii="Arial" w:hAnsi="Arial" w:cs="Arial"/>
              <w:color w:val="AAAAAA"/>
              <w:sz w:val="20"/>
              <w:szCs w:val="20"/>
            </w:rPr>
            <w:t>©</w:t>
          </w:r>
          <w:r w:rsidRPr="00896AE4">
            <w:rPr>
              <w:rFonts w:ascii="Arial" w:hAnsi="Arial" w:cs="Arial"/>
              <w:color w:val="AAAAAA"/>
              <w:sz w:val="20"/>
              <w:szCs w:val="20"/>
            </w:rPr>
            <w:t xml:space="preserve"> 2020 Thomson Reuters. No claim to original U.S. Government Works.</w:t>
          </w:r>
        </w:p>
      </w:tc>
      <w:tc>
        <w:tcPr>
          <w:tcW w:w="700" w:type="dxa"/>
          <w:tcBorders>
            <w:top w:val="single" w:sz="8" w:space="0" w:color="AAAAAA"/>
            <w:left w:val="nil"/>
            <w:bottom w:val="nil"/>
            <w:right w:val="nil"/>
          </w:tcBorders>
          <w:tcMar>
            <w:top w:w="60" w:type="dxa"/>
          </w:tcMar>
        </w:tcPr>
        <w:p w14:paraId="0352BF5F" w14:textId="77777777" w:rsidR="00000000" w:rsidRPr="00896AE4" w:rsidRDefault="00896AE4">
          <w:pPr>
            <w:widowControl w:val="0"/>
            <w:autoSpaceDE w:val="0"/>
            <w:autoSpaceDN w:val="0"/>
            <w:adjustRightInd w:val="0"/>
            <w:spacing w:after="0" w:line="240" w:lineRule="auto"/>
            <w:jc w:val="right"/>
            <w:rPr>
              <w:rFonts w:ascii="Arial" w:hAnsi="Arial" w:cs="Arial"/>
              <w:color w:val="AAAAAA"/>
              <w:sz w:val="20"/>
              <w:szCs w:val="20"/>
            </w:rPr>
          </w:pPr>
          <w:r w:rsidRPr="00896AE4">
            <w:rPr>
              <w:rFonts w:ascii="Arial" w:hAnsi="Arial" w:cs="Arial"/>
              <w:color w:val="AAAAAA"/>
              <w:sz w:val="20"/>
              <w:szCs w:val="20"/>
            </w:rPr>
            <w:pgNum/>
          </w:r>
        </w:p>
      </w:tc>
    </w:tr>
  </w:tbl>
  <w:p w14:paraId="285F31D9" w14:textId="77777777" w:rsidR="00000000" w:rsidRDefault="00896AE4">
    <w:pPr>
      <w:widowControl w:val="0"/>
      <w:autoSpaceDE w:val="0"/>
      <w:autoSpaceDN w:val="0"/>
      <w:adjustRightInd w:val="0"/>
      <w:spacing w:after="0" w:line="240" w:lineRule="auto"/>
      <w:rPr>
        <w:rFonts w:ascii="Arial" w:hAnsi="Arial" w:cs="Arial"/>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71FBA4" w14:textId="77777777" w:rsidR="00896AE4" w:rsidRDefault="00896AE4">
      <w:pPr>
        <w:spacing w:after="0" w:line="240" w:lineRule="auto"/>
      </w:pPr>
      <w:r>
        <w:separator/>
      </w:r>
    </w:p>
  </w:footnote>
  <w:footnote w:type="continuationSeparator" w:id="0">
    <w:p w14:paraId="2917AAF2" w14:textId="77777777" w:rsidR="00896AE4" w:rsidRDefault="00896A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CellMar>
        <w:left w:w="0" w:type="dxa"/>
        <w:right w:w="0" w:type="dxa"/>
      </w:tblCellMar>
      <w:tblLook w:val="0000" w:firstRow="0" w:lastRow="0" w:firstColumn="0" w:lastColumn="0" w:noHBand="0" w:noVBand="0"/>
    </w:tblPr>
    <w:tblGrid>
      <w:gridCol w:w="9380"/>
      <w:gridCol w:w="700"/>
    </w:tblGrid>
    <w:tr w:rsidR="00000000" w:rsidRPr="00896AE4" w14:paraId="2EE6861F" w14:textId="77777777">
      <w:tblPrEx>
        <w:tblCellMar>
          <w:top w:w="0" w:type="dxa"/>
          <w:left w:w="0" w:type="dxa"/>
          <w:bottom w:w="0" w:type="dxa"/>
          <w:right w:w="0" w:type="dxa"/>
        </w:tblCellMar>
      </w:tblPrEx>
      <w:tc>
        <w:tcPr>
          <w:tcW w:w="9380" w:type="dxa"/>
          <w:tcBorders>
            <w:top w:val="nil"/>
            <w:left w:val="nil"/>
            <w:bottom w:val="single" w:sz="8" w:space="0" w:color="AAAAAA"/>
            <w:right w:val="nil"/>
          </w:tcBorders>
          <w:tcMar>
            <w:top w:w="400" w:type="dxa"/>
            <w:bottom w:w="60" w:type="dxa"/>
          </w:tcMar>
          <w:vAlign w:val="bottom"/>
        </w:tcPr>
        <w:p w14:paraId="08AA3E8B" w14:textId="77777777" w:rsidR="00000000" w:rsidRPr="00896AE4" w:rsidRDefault="00896AE4">
          <w:pPr>
            <w:widowControl w:val="0"/>
            <w:autoSpaceDE w:val="0"/>
            <w:autoSpaceDN w:val="0"/>
            <w:adjustRightInd w:val="0"/>
            <w:spacing w:after="0" w:line="240" w:lineRule="auto"/>
            <w:rPr>
              <w:rFonts w:ascii="Arial" w:hAnsi="Arial" w:cs="Arial"/>
              <w:color w:val="000000"/>
              <w:sz w:val="18"/>
              <w:szCs w:val="18"/>
            </w:rPr>
          </w:pPr>
          <w:r w:rsidRPr="00896AE4">
            <w:rPr>
              <w:rFonts w:ascii="Arial" w:hAnsi="Arial" w:cs="Arial"/>
              <w:b/>
              <w:bCs/>
              <w:color w:val="555555"/>
              <w:sz w:val="18"/>
              <w:szCs w:val="18"/>
            </w:rPr>
            <w:t>Champlin Refining Co. v. Corporation Com’n of State of Okl., 286 U.S. 210 (1932)</w:t>
          </w:r>
        </w:p>
      </w:tc>
      <w:tc>
        <w:tcPr>
          <w:tcW w:w="700" w:type="dxa"/>
          <w:tcBorders>
            <w:top w:val="nil"/>
            <w:left w:val="nil"/>
            <w:bottom w:val="single" w:sz="8" w:space="0" w:color="AAAAAA"/>
            <w:right w:val="nil"/>
          </w:tcBorders>
          <w:tcMar>
            <w:top w:w="400" w:type="dxa"/>
            <w:bottom w:w="60" w:type="dxa"/>
          </w:tcMar>
        </w:tcPr>
        <w:p w14:paraId="062E079B" w14:textId="77777777" w:rsidR="00000000" w:rsidRPr="00896AE4" w:rsidRDefault="00896AE4">
          <w:pPr>
            <w:widowControl w:val="0"/>
            <w:autoSpaceDE w:val="0"/>
            <w:autoSpaceDN w:val="0"/>
            <w:adjustRightInd w:val="0"/>
            <w:spacing w:after="0" w:line="240" w:lineRule="auto"/>
            <w:jc w:val="right"/>
            <w:rPr>
              <w:rFonts w:ascii="Arial" w:hAnsi="Arial" w:cs="Arial"/>
              <w:color w:val="000000"/>
              <w:sz w:val="18"/>
              <w:szCs w:val="18"/>
            </w:rPr>
          </w:pPr>
        </w:p>
      </w:tc>
    </w:tr>
    <w:tr w:rsidR="00000000" w:rsidRPr="00896AE4" w14:paraId="07E2683B" w14:textId="77777777">
      <w:tblPrEx>
        <w:tblCellMar>
          <w:top w:w="0" w:type="dxa"/>
          <w:left w:w="0" w:type="dxa"/>
          <w:bottom w:w="0" w:type="dxa"/>
          <w:right w:w="0" w:type="dxa"/>
        </w:tblCellMar>
      </w:tblPrEx>
      <w:tc>
        <w:tcPr>
          <w:tcW w:w="10080" w:type="dxa"/>
          <w:gridSpan w:val="2"/>
          <w:tcBorders>
            <w:top w:val="nil"/>
            <w:left w:val="nil"/>
            <w:bottom w:val="nil"/>
            <w:right w:val="nil"/>
          </w:tcBorders>
        </w:tcPr>
        <w:p w14:paraId="5CB431AC" w14:textId="77777777" w:rsidR="00000000" w:rsidRPr="00896AE4" w:rsidRDefault="00896AE4">
          <w:pPr>
            <w:widowControl w:val="0"/>
            <w:autoSpaceDE w:val="0"/>
            <w:autoSpaceDN w:val="0"/>
            <w:adjustRightInd w:val="0"/>
            <w:spacing w:after="0" w:line="240" w:lineRule="auto"/>
            <w:rPr>
              <w:rFonts w:ascii="Arial" w:hAnsi="Arial" w:cs="Arial"/>
              <w:color w:val="000000"/>
              <w:sz w:val="18"/>
              <w:szCs w:val="18"/>
            </w:rPr>
          </w:pPr>
          <w:r w:rsidRPr="00896AE4">
            <w:rPr>
              <w:rFonts w:ascii="Arial" w:hAnsi="Arial" w:cs="Arial"/>
              <w:color w:val="000000"/>
              <w:sz w:val="18"/>
              <w:szCs w:val="18"/>
            </w:rPr>
            <w:t>52 S.Ct. 559, 86 A.L.R. 403, 76 L.Ed. 1062</w:t>
          </w:r>
        </w:p>
      </w:tc>
    </w:tr>
  </w:tbl>
  <w:p w14:paraId="13C5639F" w14:textId="77777777" w:rsidR="00000000" w:rsidRDefault="00896AE4">
    <w:pPr>
      <w:widowControl w:val="0"/>
      <w:autoSpaceDE w:val="0"/>
      <w:autoSpaceDN w:val="0"/>
      <w:adjustRightInd w:val="0"/>
      <w:spacing w:after="0" w:line="240" w:lineRule="auto"/>
      <w:rPr>
        <w:rFonts w:ascii="Arial" w:hAnsi="Arial" w:cs="Arial"/>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D3A10630"/>
    <w:multiLevelType w:val="singleLevel"/>
    <w:tmpl w:val="3AEC840E"/>
    <w:lvl w:ilvl="0">
      <w:numFmt w:val="decimal"/>
      <w:lvlText w:val=" "/>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40BA5"/>
    <w:rsid w:val="00103FF5"/>
    <w:rsid w:val="002B5533"/>
    <w:rsid w:val="002B5D71"/>
    <w:rsid w:val="00896AE4"/>
    <w:rsid w:val="00C40B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30AD147"/>
  <w14:defaultImageDpi w14:val="0"/>
  <w15:docId w15:val="{7D633E1A-72D5-4724-BE32-C8A3D5E9E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westlaw.com/Browse/Home/KeyNumber/361k1534/View.html?docGuid=I82520ed09cc011d9a707f4371c9c34f0&amp;originationContext=document&amp;vr=3.0&amp;rs=cblt1.0&amp;transitionType=DocumentItem&amp;contextData=(sc.Search)" TargetMode="External"/><Relationship Id="rId117" Type="http://schemas.openxmlformats.org/officeDocument/2006/relationships/hyperlink" Target="#co_anchor_F121932122515_1" TargetMode="External"/><Relationship Id="rId21" Type="http://schemas.openxmlformats.org/officeDocument/2006/relationships/hyperlink" Target="http://www.westlaw.com/Link/Document/FullText?findType=L&amp;pubNum=1000165&amp;cite=OKSTT52S274&amp;originatingDoc=I82520ed09cc011d9a707f4371c9c34f0&amp;refType=LQ&amp;originationContext=document&amp;vr=3.0&amp;rs=cblt1.0&amp;transitionType=DocumentItem&amp;contextData=(sc.Search)" TargetMode="External"/><Relationship Id="rId42" Type="http://schemas.openxmlformats.org/officeDocument/2006/relationships/hyperlink" Target="http://www.westlaw.com/Link/Document/FullText?findType=L&amp;pubNum=1000165&amp;cite=OKSTT52S274&amp;originatingDoc=I82520ed09cc011d9a707f4371c9c34f0&amp;refType=LQ&amp;originationContext=document&amp;vr=3.0&amp;rs=cblt1.0&amp;transitionType=DocumentItem&amp;contextData=(sc.Search)" TargetMode="External"/><Relationship Id="rId47" Type="http://schemas.openxmlformats.org/officeDocument/2006/relationships/hyperlink" Target="http://www.westlaw.com/Link/Document/FullText?findType=L&amp;pubNum=1000165&amp;cite=OKSTT52S278&amp;originatingDoc=I82520ed09cc011d9a707f4371c9c34f0&amp;refType=LQ&amp;originationContext=document&amp;vr=3.0&amp;rs=cblt1.0&amp;transitionType=DocumentItem&amp;contextData=(sc.Search)" TargetMode="External"/><Relationship Id="rId63" Type="http://schemas.openxmlformats.org/officeDocument/2006/relationships/hyperlink" Target="http://www.westlaw.com/Browse/Home/KeyNumber/92k1130.10/View.html?docGuid=I82520ed09cc011d9a707f4371c9c34f0&amp;originationContext=document&amp;vr=3.0&amp;rs=cblt1.0&amp;transitionType=DocumentItem&amp;contextData=(sc.Search)" TargetMode="External"/><Relationship Id="rId68" Type="http://schemas.openxmlformats.org/officeDocument/2006/relationships/hyperlink" Target="http://www.westlaw.com/Link/Document/FullText?findType=L&amp;pubNum=1000165&amp;cite=OKSTT52S274&amp;originatingDoc=I82520ed09cc011d9a707f4371c9c34f0&amp;refType=LQ&amp;originationContext=document&amp;vr=3.0&amp;rs=cblt1.0&amp;transitionType=DocumentItem&amp;contextData=(sc.Search)" TargetMode="External"/><Relationship Id="rId84" Type="http://schemas.openxmlformats.org/officeDocument/2006/relationships/hyperlink" Target="http://www.westlaw.com/Link/Document/FullText?findType=Y&amp;serNum=1900108793&amp;pubNum=708&amp;originatingDoc=I82520ed09cc011d9a707f4371c9c34f0&amp;refType=RP&amp;originationContext=document&amp;vr=3.0&amp;rs=cblt1.0&amp;transitionType=DocumentItem&amp;contextData=(sc.Search)" TargetMode="External"/><Relationship Id="rId89" Type="http://schemas.openxmlformats.org/officeDocument/2006/relationships/hyperlink" Target="http://www.westlaw.com/Link/Document/FullText?findType=Y&amp;serNum=1920118543&amp;pubNum=708&amp;originatingDoc=I82520ed09cc011d9a707f4371c9c34f0&amp;refType=RP&amp;originationContext=document&amp;vr=3.0&amp;rs=cblt1.0&amp;transitionType=DocumentItem&amp;contextData=(sc.Search)" TargetMode="External"/><Relationship Id="rId112" Type="http://schemas.openxmlformats.org/officeDocument/2006/relationships/hyperlink" Target="http://www.westlaw.com/Link/Document/FullText?findType=Y&amp;serNum=1908100392&amp;pubNum=708&amp;originatingDoc=I82520ed09cc011d9a707f4371c9c34f0&amp;refType=RP&amp;originationContext=document&amp;vr=3.0&amp;rs=cblt1.0&amp;transitionType=DocumentItem&amp;contextData=(sc.Search)" TargetMode="External"/><Relationship Id="rId133" Type="http://schemas.openxmlformats.org/officeDocument/2006/relationships/hyperlink" Target="http://www.westlaw.com/Link/Document/FullText?findType=L&amp;pubNum=1000165&amp;cite=OKCNART9S19&amp;originatingDoc=I82520ed09cc011d9a707f4371c9c34f0&amp;refType=LQ&amp;originationContext=document&amp;vr=3.0&amp;rs=cblt1.0&amp;transitionType=DocumentItem&amp;contextData=(sc.Search)" TargetMode="External"/><Relationship Id="rId138" Type="http://schemas.openxmlformats.org/officeDocument/2006/relationships/hyperlink" Target="http://www.westlaw.com/Link/Document/FullText?findType=Y&amp;serNum=1926121813&amp;pubNum=708&amp;originatingDoc=I82520ed09cc011d9a707f4371c9c34f0&amp;refType=RP&amp;fi=co_pp_sp_708_127&amp;originationContext=document&amp;vr=3.0&amp;rs=cblt1.0&amp;transitionType=DocumentItem&amp;contextData=(sc.Search)#co_pp_sp_708_127" TargetMode="External"/><Relationship Id="rId16" Type="http://schemas.openxmlformats.org/officeDocument/2006/relationships/hyperlink" Target="http://www.westlaw.com/Browse/Home/KeyNumber/260k92.2/View.html?docGuid=I82520ed09cc011d9a707f4371c9c34f0&amp;originationContext=document&amp;vr=3.0&amp;rs=cblt1.0&amp;transitionType=DocumentItem&amp;contextData=(sc.Search)" TargetMode="External"/><Relationship Id="rId107" Type="http://schemas.openxmlformats.org/officeDocument/2006/relationships/hyperlink" Target="http://www.westlaw.com/Link/Document/FullText?findType=Y&amp;serNum=1928126100&amp;pubNum=708&amp;originatingDoc=I82520ed09cc011d9a707f4371c9c34f0&amp;refType=RP&amp;originationContext=document&amp;vr=3.0&amp;rs=cblt1.0&amp;transitionType=DocumentItem&amp;contextData=(sc.Search)" TargetMode="External"/><Relationship Id="rId11" Type="http://schemas.openxmlformats.org/officeDocument/2006/relationships/hyperlink" Target="http://www.westlaw.com/Link/Document/FullText?findType=Y&amp;serNum=1931122940&amp;pubNum=350&amp;originatingDoc=I82520ed09cc011d9a707f4371c9c34f0&amp;refType=RP&amp;originationContext=document&amp;vr=3.0&amp;rs=cblt1.0&amp;transitionType=DocumentItem&amp;contextData=(sc.Search)" TargetMode="External"/><Relationship Id="rId32" Type="http://schemas.openxmlformats.org/officeDocument/2006/relationships/hyperlink" Target="http://www.westlaw.com/Link/Document/FullText?findType=L&amp;pubNum=1000165&amp;cite=OKSTT52S274&amp;originatingDoc=I82520ed09cc011d9a707f4371c9c34f0&amp;refType=LQ&amp;originationContext=document&amp;vr=3.0&amp;rs=cblt1.0&amp;transitionType=DocumentItem&amp;contextData=(sc.Search)" TargetMode="External"/><Relationship Id="rId37" Type="http://schemas.openxmlformats.org/officeDocument/2006/relationships/hyperlink" Target="http://www.westlaw.com/Link/Document/FullText?findType=L&amp;pubNum=1000165&amp;cite=OKSTT52S274&amp;originatingDoc=I82520ed09cc011d9a707f4371c9c34f0&amp;refType=LQ&amp;originationContext=document&amp;vr=3.0&amp;rs=cblt1.0&amp;transitionType=DocumentItem&amp;contextData=(sc.Search)" TargetMode="External"/><Relationship Id="rId53" Type="http://schemas.openxmlformats.org/officeDocument/2006/relationships/hyperlink" Target="http://www.westlaw.com/Link/Document/FullText?findType=L&amp;pubNum=1000165&amp;cite=OKSTT52S278&amp;originatingDoc=I82520ed09cc011d9a707f4371c9c34f0&amp;refType=LQ&amp;originationContext=document&amp;vr=3.0&amp;rs=cblt1.0&amp;transitionType=DocumentItem&amp;contextData=(sc.Search)" TargetMode="External"/><Relationship Id="rId58" Type="http://schemas.openxmlformats.org/officeDocument/2006/relationships/hyperlink" Target="http://www.westlaw.com/Link/Document/FullText?findType=L&amp;pubNum=1000165&amp;cite=OKSTT52S278&amp;originatingDoc=I82520ed09cc011d9a707f4371c9c34f0&amp;refType=LQ&amp;originationContext=document&amp;vr=3.0&amp;rs=cblt1.0&amp;transitionType=DocumentItem&amp;contextData=(sc.Search)" TargetMode="External"/><Relationship Id="rId74" Type="http://schemas.openxmlformats.org/officeDocument/2006/relationships/hyperlink" Target="http://www.westlaw.com/Browse/Home/KeyNumber/260/View.html?docGuid=I82520ed09cc011d9a707f4371c9c34f0&amp;originationContext=document&amp;vr=3.0&amp;rs=cblt1.0&amp;transitionType=DocumentItem&amp;contextData=(sc.Search)" TargetMode="External"/><Relationship Id="rId79" Type="http://schemas.openxmlformats.org/officeDocument/2006/relationships/hyperlink" Target="http://www.westlaw.com/Link/Document/FullText?findType=L&amp;pubNum=1000546&amp;cite=USCOAMENDXIV&amp;originatingDoc=I82520ed09cc011d9a707f4371c9c34f0&amp;refType=LQ&amp;originationContext=document&amp;vr=3.0&amp;rs=cblt1.0&amp;transitionType=DocumentItem&amp;contextData=(sc.Search)" TargetMode="External"/><Relationship Id="rId102" Type="http://schemas.openxmlformats.org/officeDocument/2006/relationships/hyperlink" Target="http://www.westlaw.com/Link/Document/FullText?findType=Y&amp;serNum=1930120904&amp;pubNum=660&amp;originatingDoc=I82520ed09cc011d9a707f4371c9c34f0&amp;refType=RP&amp;originationContext=document&amp;vr=3.0&amp;rs=cblt1.0&amp;transitionType=DocumentItem&amp;contextData=(sc.Search)" TargetMode="External"/><Relationship Id="rId123" Type="http://schemas.openxmlformats.org/officeDocument/2006/relationships/hyperlink" Target="http://www.westlaw.com/Link/Document/FullText?findType=Y&amp;serNum=1914100562&amp;pubNum=708&amp;originatingDoc=I82520ed09cc011d9a707f4371c9c34f0&amp;refType=RP&amp;originationContext=document&amp;vr=3.0&amp;rs=cblt1.0&amp;transitionType=DocumentItem&amp;contextData=(sc.Search)" TargetMode="External"/><Relationship Id="rId128" Type="http://schemas.openxmlformats.org/officeDocument/2006/relationships/hyperlink" Target="http://www.westlaw.com/Link/Document/FullText?findType=Y&amp;serNum=1922117947&amp;pubNum=708&amp;originatingDoc=I82520ed09cc011d9a707f4371c9c34f0&amp;refType=RP&amp;originationContext=document&amp;vr=3.0&amp;rs=cblt1.0&amp;transitionType=DocumentItem&amp;contextData=(sc.Search)" TargetMode="External"/><Relationship Id="rId144" Type="http://schemas.openxmlformats.org/officeDocument/2006/relationships/theme" Target="theme/theme1.xml"/><Relationship Id="rId5" Type="http://schemas.openxmlformats.org/officeDocument/2006/relationships/footnotes" Target="footnotes.xml"/><Relationship Id="rId90" Type="http://schemas.openxmlformats.org/officeDocument/2006/relationships/hyperlink" Target="http://www.westlaw.com/Link/Document/FullText?findType=Y&amp;serNum=1918018633&amp;pubNum=104&amp;originatingDoc=I82520ed09cc011d9a707f4371c9c34f0&amp;refType=RP&amp;originationContext=document&amp;vr=3.0&amp;rs=cblt1.0&amp;transitionType=DocumentItem&amp;contextData=(sc.Search)" TargetMode="External"/><Relationship Id="rId95" Type="http://schemas.openxmlformats.org/officeDocument/2006/relationships/hyperlink" Target="http://www.westlaw.com/Link/Document/FullText?findType=Y&amp;serNum=1902100421&amp;pubNum=708&amp;originatingDoc=I82520ed09cc011d9a707f4371c9c34f0&amp;refType=RP&amp;originationContext=document&amp;vr=3.0&amp;rs=cblt1.0&amp;transitionType=DocumentItem&amp;contextData=(sc.Search)" TargetMode="External"/><Relationship Id="rId22" Type="http://schemas.openxmlformats.org/officeDocument/2006/relationships/hyperlink" Target="http://www.westlaw.com/Link/Document/FullText?findType=L&amp;pubNum=1000546&amp;cite=USCOAMENDXIV&amp;originatingDoc=I82520ed09cc011d9a707f4371c9c34f0&amp;refType=LQ&amp;originationContext=document&amp;vr=3.0&amp;rs=cblt1.0&amp;transitionType=DocumentItem&amp;contextData=(sc.Search)" TargetMode="External"/><Relationship Id="rId27" Type="http://schemas.openxmlformats.org/officeDocument/2006/relationships/hyperlink" Target="http://www.westlaw.com/Browse/Home/KeyNumber/83/View.html?docGuid=I82520ed09cc011d9a707f4371c9c34f0&amp;originationContext=document&amp;vr=3.0&amp;rs=cblt1.0&amp;transitionType=DocumentItem&amp;contextData=(sc.Search)" TargetMode="External"/><Relationship Id="rId43" Type="http://schemas.openxmlformats.org/officeDocument/2006/relationships/hyperlink" Target="http://www.westlaw.com/Browse/Home/KeyNumber/212/View.html?docGuid=I82520ed09cc011d9a707f4371c9c34f0&amp;originationContext=document&amp;vr=3.0&amp;rs=cblt1.0&amp;transitionType=DocumentItem&amp;contextData=(sc.Search)" TargetMode="External"/><Relationship Id="rId48" Type="http://schemas.openxmlformats.org/officeDocument/2006/relationships/hyperlink" Target="http://www.westlaw.com/Browse/Home/KeyNumber/260/View.html?docGuid=I82520ed09cc011d9a707f4371c9c34f0&amp;originationContext=document&amp;vr=3.0&amp;rs=cblt1.0&amp;transitionType=DocumentItem&amp;contextData=(sc.Search)" TargetMode="External"/><Relationship Id="rId64" Type="http://schemas.openxmlformats.org/officeDocument/2006/relationships/hyperlink" Target="http://www.westlaw.com/Browse/Home/KeyNumber/260/View.html?docGuid=I82520ed09cc011d9a707f4371c9c34f0&amp;originationContext=document&amp;vr=3.0&amp;rs=cblt1.0&amp;transitionType=DocumentItem&amp;contextData=(sc.Search)" TargetMode="External"/><Relationship Id="rId69" Type="http://schemas.openxmlformats.org/officeDocument/2006/relationships/hyperlink" Target="http://www.westlaw.com/Browse/Home/KeyNumber/260/View.html?docGuid=I82520ed09cc011d9a707f4371c9c34f0&amp;originationContext=document&amp;vr=3.0&amp;rs=cblt1.0&amp;transitionType=DocumentItem&amp;contextData=(sc.Search)" TargetMode="External"/><Relationship Id="rId113" Type="http://schemas.openxmlformats.org/officeDocument/2006/relationships/hyperlink" Target="http://www.westlaw.com/Link/Document/FullText?findType=Y&amp;serNum=1926126251&amp;pubNum=104&amp;originatingDoc=I82520ed09cc011d9a707f4371c9c34f0&amp;refType=RP&amp;originationContext=document&amp;vr=3.0&amp;rs=cblt1.0&amp;transitionType=DocumentItem&amp;contextData=(sc.Search)" TargetMode="External"/><Relationship Id="rId118" Type="http://schemas.openxmlformats.org/officeDocument/2006/relationships/hyperlink" Target="http://www.westlaw.com/Link/Document/FullText?findType=Y&amp;serNum=1923120499&amp;pubNum=708&amp;originatingDoc=I82520ed09cc011d9a707f4371c9c34f0&amp;refType=RP&amp;originationContext=document&amp;vr=3.0&amp;rs=cblt1.0&amp;transitionType=DocumentItem&amp;contextData=(sc.Search)" TargetMode="External"/><Relationship Id="rId134" Type="http://schemas.openxmlformats.org/officeDocument/2006/relationships/hyperlink" Target="http://www.westlaw.com/Link/Document/FullText?findType=Y&amp;serNum=1921113108&amp;pubNum=660&amp;originatingDoc=I82520ed09cc011d9a707f4371c9c34f0&amp;refType=RP&amp;originationContext=document&amp;vr=3.0&amp;rs=cblt1.0&amp;transitionType=DocumentItem&amp;contextData=(sc.Search)" TargetMode="External"/><Relationship Id="rId139" Type="http://schemas.openxmlformats.org/officeDocument/2006/relationships/hyperlink" Target="http://www.westlaw.com/Link/Document/FullText?findType=Y&amp;serNum=1921116453&amp;pubNum=104&amp;originatingDoc=I82520ed09cc011d9a707f4371c9c34f0&amp;refType=RP&amp;originationContext=document&amp;vr=3.0&amp;rs=cblt1.0&amp;transitionType=DocumentItem&amp;contextData=(sc.Search)" TargetMode="External"/><Relationship Id="rId8" Type="http://schemas.openxmlformats.org/officeDocument/2006/relationships/footer" Target="footer1.xml"/><Relationship Id="rId51" Type="http://schemas.openxmlformats.org/officeDocument/2006/relationships/hyperlink" Target="http://www.westlaw.com/Browse/Home/KeyNumber/92/View.html?docGuid=I82520ed09cc011d9a707f4371c9c34f0&amp;originationContext=document&amp;vr=3.0&amp;rs=cblt1.0&amp;transitionType=DocumentItem&amp;contextData=(sc.Search)" TargetMode="External"/><Relationship Id="rId72" Type="http://schemas.openxmlformats.org/officeDocument/2006/relationships/hyperlink" Target="http://www.westlaw.com/Browse/Home/KeyNumber/92/View.html?docGuid=I82520ed09cc011d9a707f4371c9c34f0&amp;originationContext=document&amp;vr=3.0&amp;rs=cblt1.0&amp;transitionType=DocumentItem&amp;contextData=(sc.Search)" TargetMode="External"/><Relationship Id="rId80" Type="http://schemas.openxmlformats.org/officeDocument/2006/relationships/hyperlink" Target="http://www.westlaw.com/Link/Document/FullText?findType=Y&amp;serNum=1931122940&amp;pubNum=350&amp;originatingDoc=I82520ed09cc011d9a707f4371c9c34f0&amp;refType=RP&amp;originationContext=document&amp;vr=3.0&amp;rs=cblt1.0&amp;transitionType=DocumentItem&amp;contextData=(sc.Search)" TargetMode="External"/><Relationship Id="rId85" Type="http://schemas.openxmlformats.org/officeDocument/2006/relationships/hyperlink" Target="http://www.westlaw.com/Link/Document/FullText?findType=Y&amp;serNum=1911103416&amp;pubNum=708&amp;originatingDoc=I82520ed09cc011d9a707f4371c9c34f0&amp;refType=RP&amp;originationContext=document&amp;vr=3.0&amp;rs=cblt1.0&amp;transitionType=DocumentItem&amp;contextData=(sc.Search)" TargetMode="External"/><Relationship Id="rId93" Type="http://schemas.openxmlformats.org/officeDocument/2006/relationships/hyperlink" Target="#co_anchor_F41932122515_1" TargetMode="External"/><Relationship Id="rId98" Type="http://schemas.openxmlformats.org/officeDocument/2006/relationships/hyperlink" Target="http://www.westlaw.com/Link/Document/FullText?findType=Y&amp;serNum=1892180033&amp;pubNum=780&amp;originatingDoc=I82520ed09cc011d9a707f4371c9c34f0&amp;refType=RP&amp;fi=co_pp_sp_780_695&amp;originationContext=document&amp;vr=3.0&amp;rs=cblt1.0&amp;transitionType=DocumentItem&amp;contextData=(sc.Search)#co_pp_sp_780_695" TargetMode="External"/><Relationship Id="rId121" Type="http://schemas.openxmlformats.org/officeDocument/2006/relationships/hyperlink" Target="http://www.westlaw.com/Link/Document/FullText?findType=Y&amp;serNum=1928125861&amp;pubNum=780&amp;originatingDoc=I82520ed09cc011d9a707f4371c9c34f0&amp;refType=RP&amp;fi=co_pp_sp_780_446&amp;originationContext=document&amp;vr=3.0&amp;rs=cblt1.0&amp;transitionType=DocumentItem&amp;contextData=(sc.Search)#co_pp_sp_780_446" TargetMode="External"/><Relationship Id="rId142" Type="http://schemas.openxmlformats.org/officeDocument/2006/relationships/hyperlink" Target="http://www.westlaw.com/Link/Document/FullText?findType=Y&amp;serNum=1931123904&amp;pubNum=708&amp;originatingDoc=I82520ed09cc011d9a707f4371c9c34f0&amp;refType=RP&amp;originationContext=document&amp;vr=3.0&amp;rs=cblt1.0&amp;transitionType=DocumentItem&amp;contextData=(sc.Search)" TargetMode="External"/><Relationship Id="rId3" Type="http://schemas.openxmlformats.org/officeDocument/2006/relationships/settings" Target="settings.xml"/><Relationship Id="rId12" Type="http://schemas.openxmlformats.org/officeDocument/2006/relationships/hyperlink" Target="http://www.westlaw.com/Browse/Home/KeyNumber/260/View.html?docGuid=I82520ed09cc011d9a707f4371c9c34f0&amp;originationContext=document&amp;vr=3.0&amp;rs=cblt1.0&amp;transitionType=DocumentItem&amp;contextData=(sc.Search)" TargetMode="External"/><Relationship Id="rId17" Type="http://schemas.openxmlformats.org/officeDocument/2006/relationships/hyperlink" Target="http://www.westlaw.com/Browse/Home/KeyNumber/92/View.html?docGuid=I82520ed09cc011d9a707f4371c9c34f0&amp;originationContext=document&amp;vr=3.0&amp;rs=cblt1.0&amp;transitionType=DocumentItem&amp;contextData=(sc.Search)" TargetMode="External"/><Relationship Id="rId25" Type="http://schemas.openxmlformats.org/officeDocument/2006/relationships/hyperlink" Target="http://www.westlaw.com/Browse/Home/KeyNumber/361/View.html?docGuid=I82520ed09cc011d9a707f4371c9c34f0&amp;originationContext=document&amp;vr=3.0&amp;rs=cblt1.0&amp;transitionType=DocumentItem&amp;contextData=(sc.Search)" TargetMode="External"/><Relationship Id="rId33" Type="http://schemas.openxmlformats.org/officeDocument/2006/relationships/hyperlink" Target="http://www.westlaw.com/Browse/Home/KeyNumber/260/View.html?docGuid=I82520ed09cc011d9a707f4371c9c34f0&amp;originationContext=document&amp;vr=3.0&amp;rs=cblt1.0&amp;transitionType=DocumentItem&amp;contextData=(sc.Search)" TargetMode="External"/><Relationship Id="rId38" Type="http://schemas.openxmlformats.org/officeDocument/2006/relationships/hyperlink" Target="http://www.westlaw.com/Browse/Home/KeyNumber/260/View.html?docGuid=I82520ed09cc011d9a707f4371c9c34f0&amp;originationContext=document&amp;vr=3.0&amp;rs=cblt1.0&amp;transitionType=DocumentItem&amp;contextData=(sc.Search)" TargetMode="External"/><Relationship Id="rId46" Type="http://schemas.openxmlformats.org/officeDocument/2006/relationships/hyperlink" Target="http://www.westlaw.com/Browse/Home/KeyNumber/212k1563/View.html?docGuid=I82520ed09cc011d9a707f4371c9c34f0&amp;originationContext=document&amp;vr=3.0&amp;rs=cblt1.0&amp;transitionType=DocumentItem&amp;contextData=(sc.Search)" TargetMode="External"/><Relationship Id="rId59" Type="http://schemas.openxmlformats.org/officeDocument/2006/relationships/hyperlink" Target="http://www.westlaw.com/Browse/Home/KeyNumber/260/View.html?docGuid=I82520ed09cc011d9a707f4371c9c34f0&amp;originationContext=document&amp;vr=3.0&amp;rs=cblt1.0&amp;transitionType=DocumentItem&amp;contextData=(sc.Search)" TargetMode="External"/><Relationship Id="rId67" Type="http://schemas.openxmlformats.org/officeDocument/2006/relationships/hyperlink" Target="http://www.westlaw.com/Link/Document/FullText?findType=L&amp;pubNum=1000165&amp;cite=OKSTT52S273&amp;originatingDoc=I82520ed09cc011d9a707f4371c9c34f0&amp;refType=LQ&amp;originationContext=document&amp;vr=3.0&amp;rs=cblt1.0&amp;transitionType=DocumentItem&amp;contextData=(sc.Search)" TargetMode="External"/><Relationship Id="rId103" Type="http://schemas.openxmlformats.org/officeDocument/2006/relationships/hyperlink" Target="#co_anchor_F61932122515_1" TargetMode="External"/><Relationship Id="rId108" Type="http://schemas.openxmlformats.org/officeDocument/2006/relationships/hyperlink" Target="#co_anchor_F71932122515_1" TargetMode="External"/><Relationship Id="rId116" Type="http://schemas.openxmlformats.org/officeDocument/2006/relationships/hyperlink" Target="#co_anchor_F111932122515_1" TargetMode="External"/><Relationship Id="rId124" Type="http://schemas.openxmlformats.org/officeDocument/2006/relationships/hyperlink" Target="#co_anchor_F131932122515_1" TargetMode="External"/><Relationship Id="rId129" Type="http://schemas.openxmlformats.org/officeDocument/2006/relationships/hyperlink" Target="http://www.westlaw.com/Link/Document/FullText?findType=Y&amp;serNum=1926122634&amp;pubNum=780&amp;originatingDoc=I82520ed09cc011d9a707f4371c9c34f0&amp;refType=RP&amp;fi=co_pp_sp_780_669&amp;originationContext=document&amp;vr=3.0&amp;rs=cblt1.0&amp;transitionType=DocumentItem&amp;contextData=(sc.Search)#co_pp_sp_780_669" TargetMode="External"/><Relationship Id="rId137" Type="http://schemas.openxmlformats.org/officeDocument/2006/relationships/hyperlink" Target="http://www.westlaw.com/Link/Document/FullText?findType=Y&amp;serNum=1893180167&amp;pubNum=708&amp;originatingDoc=I82520ed09cc011d9a707f4371c9c34f0&amp;refType=RP&amp;originationContext=document&amp;vr=3.0&amp;rs=cblt1.0&amp;transitionType=DocumentItem&amp;contextData=(sc.Search)" TargetMode="External"/><Relationship Id="rId20" Type="http://schemas.openxmlformats.org/officeDocument/2006/relationships/hyperlink" Target="http://www.westlaw.com/Link/Document/FullText?findType=L&amp;pubNum=1000165&amp;cite=OKSTT52S273&amp;originatingDoc=I82520ed09cc011d9a707f4371c9c34f0&amp;refType=LQ&amp;originationContext=document&amp;vr=3.0&amp;rs=cblt1.0&amp;transitionType=DocumentItem&amp;contextData=(sc.Search)" TargetMode="External"/><Relationship Id="rId41" Type="http://schemas.openxmlformats.org/officeDocument/2006/relationships/hyperlink" Target="http://www.westlaw.com/Link/Document/FullText?findType=L&amp;pubNum=1000165&amp;cite=OKSTT52S273&amp;originatingDoc=I82520ed09cc011d9a707f4371c9c34f0&amp;refType=LQ&amp;originationContext=document&amp;vr=3.0&amp;rs=cblt1.0&amp;transitionType=DocumentItem&amp;contextData=(sc.Search)" TargetMode="External"/><Relationship Id="rId54" Type="http://schemas.openxmlformats.org/officeDocument/2006/relationships/hyperlink" Target="http://www.westlaw.com/Browse/Home/KeyNumber/30/View.html?docGuid=I82520ed09cc011d9a707f4371c9c34f0&amp;originationContext=document&amp;vr=3.0&amp;rs=cblt1.0&amp;transitionType=DocumentItem&amp;contextData=(sc.Search)" TargetMode="External"/><Relationship Id="rId62" Type="http://schemas.openxmlformats.org/officeDocument/2006/relationships/hyperlink" Target="http://www.westlaw.com/Browse/Home/KeyNumber/92/View.html?docGuid=I82520ed09cc011d9a707f4371c9c34f0&amp;originationContext=document&amp;vr=3.0&amp;rs=cblt1.0&amp;transitionType=DocumentItem&amp;contextData=(sc.Search)" TargetMode="External"/><Relationship Id="rId70" Type="http://schemas.openxmlformats.org/officeDocument/2006/relationships/hyperlink" Target="http://www.westlaw.com/Browse/Home/KeyNumber/260k86/View.html?docGuid=I82520ed09cc011d9a707f4371c9c34f0&amp;originationContext=document&amp;vr=3.0&amp;rs=cblt1.0&amp;transitionType=DocumentItem&amp;contextData=(sc.Search)" TargetMode="External"/><Relationship Id="rId75" Type="http://schemas.openxmlformats.org/officeDocument/2006/relationships/hyperlink" Target="http://www.westlaw.com/Browse/Home/KeyNumber/260k92.3(2)/View.html?docGuid=I82520ed09cc011d9a707f4371c9c34f0&amp;originationContext=document&amp;vr=3.0&amp;rs=cblt1.0&amp;transitionType=DocumentItem&amp;contextData=(sc.Search)" TargetMode="External"/><Relationship Id="rId83" Type="http://schemas.openxmlformats.org/officeDocument/2006/relationships/hyperlink" Target="#co_anchor_F31932122515_1" TargetMode="External"/><Relationship Id="rId88" Type="http://schemas.openxmlformats.org/officeDocument/2006/relationships/hyperlink" Target="http://www.westlaw.com/Link/Document/FullText?findType=Y&amp;serNum=1895180156&amp;pubNum=708&amp;originatingDoc=I82520ed09cc011d9a707f4371c9c34f0&amp;refType=RP&amp;originationContext=document&amp;vr=3.0&amp;rs=cblt1.0&amp;transitionType=DocumentItem&amp;contextData=(sc.Search)" TargetMode="External"/><Relationship Id="rId91" Type="http://schemas.openxmlformats.org/officeDocument/2006/relationships/hyperlink" Target="http://www.westlaw.com/Link/Document/FullText?findType=Y&amp;serNum=1931119714&amp;pubNum=220&amp;originatingDoc=I82520ed09cc011d9a707f4371c9c34f0&amp;refType=RP&amp;fi=co_pp_sp_220_100&amp;originationContext=document&amp;vr=3.0&amp;rs=cblt1.0&amp;transitionType=DocumentItem&amp;contextData=(sc.Search)#co_pp_sp_220_100" TargetMode="External"/><Relationship Id="rId96" Type="http://schemas.openxmlformats.org/officeDocument/2006/relationships/hyperlink" Target="http://www.westlaw.com/Link/Document/FullText?findType=Y&amp;serNum=1895180044&amp;pubNum=708&amp;originatingDoc=I82520ed09cc011d9a707f4371c9c34f0&amp;refType=RP&amp;originationContext=document&amp;vr=3.0&amp;rs=cblt1.0&amp;transitionType=DocumentItem&amp;contextData=(sc.Search)" TargetMode="External"/><Relationship Id="rId111" Type="http://schemas.openxmlformats.org/officeDocument/2006/relationships/hyperlink" Target="http://www.westlaw.com/Link/Document/FullText?findType=Y&amp;serNum=1923120327&amp;pubNum=708&amp;originatingDoc=I82520ed09cc011d9a707f4371c9c34f0&amp;refType=RP&amp;originationContext=document&amp;vr=3.0&amp;rs=cblt1.0&amp;transitionType=DocumentItem&amp;contextData=(sc.Search)" TargetMode="External"/><Relationship Id="rId132" Type="http://schemas.openxmlformats.org/officeDocument/2006/relationships/hyperlink" Target="#co_anchor_F161932122515_1" TargetMode="External"/><Relationship Id="rId140" Type="http://schemas.openxmlformats.org/officeDocument/2006/relationships/hyperlink" Target="http://www.westlaw.com/Link/Document/FullText?findType=Y&amp;serNum=1925121597&amp;pubNum=708&amp;originatingDoc=I82520ed09cc011d9a707f4371c9c34f0&amp;refType=RP&amp;originationContext=document&amp;vr=3.0&amp;rs=cblt1.0&amp;transitionType=DocumentItem&amp;contextData=(sc.Search)"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westlaw.com/Browse/Home/KeyNumber/260/View.html?docGuid=I82520ed09cc011d9a707f4371c9c34f0&amp;originationContext=document&amp;vr=3.0&amp;rs=cblt1.0&amp;transitionType=DocumentItem&amp;contextData=(sc.Search)" TargetMode="External"/><Relationship Id="rId23" Type="http://schemas.openxmlformats.org/officeDocument/2006/relationships/hyperlink" Target="http://www.westlaw.com/Browse/Home/KeyNumber/361/View.html?docGuid=I82520ed09cc011d9a707f4371c9c34f0&amp;originationContext=document&amp;vr=3.0&amp;rs=cblt1.0&amp;transitionType=DocumentItem&amp;contextData=(sc.Search)" TargetMode="External"/><Relationship Id="rId28" Type="http://schemas.openxmlformats.org/officeDocument/2006/relationships/hyperlink" Target="http://www.westlaw.com/Browse/Home/KeyNumber/83k62.2/View.html?docGuid=I82520ed09cc011d9a707f4371c9c34f0&amp;originationContext=document&amp;vr=3.0&amp;rs=cblt1.0&amp;transitionType=DocumentItem&amp;contextData=(sc.Search)" TargetMode="External"/><Relationship Id="rId36" Type="http://schemas.openxmlformats.org/officeDocument/2006/relationships/hyperlink" Target="http://www.westlaw.com/Link/Document/FullText?findType=L&amp;pubNum=1000165&amp;cite=OKSTT52S273&amp;originatingDoc=I82520ed09cc011d9a707f4371c9c34f0&amp;refType=LQ&amp;originationContext=document&amp;vr=3.0&amp;rs=cblt1.0&amp;transitionType=DocumentItem&amp;contextData=(sc.Search)" TargetMode="External"/><Relationship Id="rId49" Type="http://schemas.openxmlformats.org/officeDocument/2006/relationships/hyperlink" Target="http://www.westlaw.com/Browse/Home/KeyNumber/260k86/View.html?docGuid=I82520ed09cc011d9a707f4371c9c34f0&amp;originationContext=document&amp;vr=3.0&amp;rs=cblt1.0&amp;transitionType=DocumentItem&amp;contextData=(sc.Search)" TargetMode="External"/><Relationship Id="rId57" Type="http://schemas.openxmlformats.org/officeDocument/2006/relationships/hyperlink" Target="http://www.westlaw.com/Browse/Home/KeyNumber/260k92.63/View.html?docGuid=I82520ed09cc011d9a707f4371c9c34f0&amp;originationContext=document&amp;vr=3.0&amp;rs=cblt1.0&amp;transitionType=DocumentItem&amp;contextData=(sc.Search)" TargetMode="External"/><Relationship Id="rId106" Type="http://schemas.openxmlformats.org/officeDocument/2006/relationships/hyperlink" Target="http://www.westlaw.com/Link/Document/FullText?findType=Y&amp;serNum=1927123949&amp;pubNum=708&amp;originatingDoc=I82520ed09cc011d9a707f4371c9c34f0&amp;refType=RP&amp;originationContext=document&amp;vr=3.0&amp;rs=cblt1.0&amp;transitionType=DocumentItem&amp;contextData=(sc.Search)" TargetMode="External"/><Relationship Id="rId114" Type="http://schemas.openxmlformats.org/officeDocument/2006/relationships/hyperlink" Target="#co_anchor_F91932122515_1" TargetMode="External"/><Relationship Id="rId119" Type="http://schemas.openxmlformats.org/officeDocument/2006/relationships/hyperlink" Target="http://www.westlaw.com/Link/Document/FullText?findType=Y&amp;serNum=1923120452&amp;pubNum=708&amp;originatingDoc=I82520ed09cc011d9a707f4371c9c34f0&amp;refType=RP&amp;originationContext=document&amp;vr=3.0&amp;rs=cblt1.0&amp;transitionType=DocumentItem&amp;contextData=(sc.Search)" TargetMode="External"/><Relationship Id="rId127" Type="http://schemas.openxmlformats.org/officeDocument/2006/relationships/hyperlink" Target="http://www.westlaw.com/Link/Document/FullText?findType=Y&amp;serNum=1897189688&amp;pubNum=348&amp;originatingDoc=I82520ed09cc011d9a707f4371c9c34f0&amp;refType=RP&amp;fi=co_pp_sp_348_857&amp;originationContext=document&amp;vr=3.0&amp;rs=cblt1.0&amp;transitionType=DocumentItem&amp;contextData=(sc.Search)#co_pp_sp_348_857" TargetMode="External"/><Relationship Id="rId10" Type="http://schemas.openxmlformats.org/officeDocument/2006/relationships/hyperlink" Target="https://www.westlaw.com/Document/Id3ec37e043d511dbbb4d83d7c3c3a165/View/FullText.html?navigationPath=RelatedInfo%2Fv4%2Fkeycite%2Fnav%2F%3Fguid%3DId3ec37e043d511dbbb4d83d7c3c3a165%26ss%3D1932122515%26ds%3D2010275732%26origDocGuid%3DI82520ed09cc011d9a707f4371c9c34f0&amp;listSource=RelatedInfo&amp;list=NegativeCitingReferences&amp;rank=0&amp;originationContext=docHeader&amp;transitionType=NegativeTreatment&amp;contextData=%28sc.Search%29&amp;VR=3.0&amp;RS=cblt1.0" TargetMode="External"/><Relationship Id="rId31" Type="http://schemas.openxmlformats.org/officeDocument/2006/relationships/hyperlink" Target="http://www.westlaw.com/Link/Document/FullText?findType=L&amp;pubNum=1000165&amp;cite=OKSTT52S273&amp;originatingDoc=I82520ed09cc011d9a707f4371c9c34f0&amp;refType=LQ&amp;originationContext=document&amp;vr=3.0&amp;rs=cblt1.0&amp;transitionType=DocumentItem&amp;contextData=(sc.Search)" TargetMode="External"/><Relationship Id="rId44" Type="http://schemas.openxmlformats.org/officeDocument/2006/relationships/hyperlink" Target="http://www.westlaw.com/Browse/Home/KeyNumber/212k1253/View.html?docGuid=I82520ed09cc011d9a707f4371c9c34f0&amp;originationContext=document&amp;vr=3.0&amp;rs=cblt1.0&amp;transitionType=DocumentItem&amp;contextData=(sc.Search)" TargetMode="External"/><Relationship Id="rId52" Type="http://schemas.openxmlformats.org/officeDocument/2006/relationships/hyperlink" Target="http://www.westlaw.com/Browse/Home/KeyNumber/92VI(C)2/View.html?docGuid=I82520ed09cc011d9a707f4371c9c34f0&amp;originationContext=document&amp;vr=3.0&amp;rs=cblt1.0&amp;transitionType=DocumentItem&amp;contextData=(sc.Search)" TargetMode="External"/><Relationship Id="rId60" Type="http://schemas.openxmlformats.org/officeDocument/2006/relationships/hyperlink" Target="http://www.westlaw.com/Browse/Home/KeyNumber/260k86/View.html?docGuid=I82520ed09cc011d9a707f4371c9c34f0&amp;originationContext=document&amp;vr=3.0&amp;rs=cblt1.0&amp;transitionType=DocumentItem&amp;contextData=(sc.Search)" TargetMode="External"/><Relationship Id="rId65" Type="http://schemas.openxmlformats.org/officeDocument/2006/relationships/hyperlink" Target="http://www.westlaw.com/Browse/Home/KeyNumber/260k86/View.html?docGuid=I82520ed09cc011d9a707f4371c9c34f0&amp;originationContext=document&amp;vr=3.0&amp;rs=cblt1.0&amp;transitionType=DocumentItem&amp;contextData=(sc.Search)" TargetMode="External"/><Relationship Id="rId73" Type="http://schemas.openxmlformats.org/officeDocument/2006/relationships/hyperlink" Target="http://www.westlaw.com/Browse/Home/KeyNumber/92k3697/View.html?docGuid=I82520ed09cc011d9a707f4371c9c34f0&amp;originationContext=document&amp;vr=3.0&amp;rs=cblt1.0&amp;transitionType=DocumentItem&amp;contextData=(sc.Search)" TargetMode="External"/><Relationship Id="rId78" Type="http://schemas.openxmlformats.org/officeDocument/2006/relationships/hyperlink" Target="http://www.westlaw.com/Link/Document/FullText?findType=L&amp;pubNum=1000165&amp;cite=OKSTT52S274&amp;originatingDoc=I82520ed09cc011d9a707f4371c9c34f0&amp;refType=LQ&amp;originationContext=document&amp;vr=3.0&amp;rs=cblt1.0&amp;transitionType=DocumentItem&amp;contextData=(sc.Search)" TargetMode="External"/><Relationship Id="rId81" Type="http://schemas.openxmlformats.org/officeDocument/2006/relationships/hyperlink" Target="#co_anchor_F11932122515_1" TargetMode="External"/><Relationship Id="rId86" Type="http://schemas.openxmlformats.org/officeDocument/2006/relationships/hyperlink" Target="http://www.westlaw.com/Link/Document/FullText?findType=Y&amp;serNum=1931122885&amp;pubNum=780&amp;originatingDoc=I82520ed09cc011d9a707f4371c9c34f0&amp;refType=RP&amp;fi=co_pp_sp_780_19&amp;originationContext=document&amp;vr=3.0&amp;rs=cblt1.0&amp;transitionType=DocumentItem&amp;contextData=(sc.Search)#co_pp_sp_780_19" TargetMode="External"/><Relationship Id="rId94" Type="http://schemas.openxmlformats.org/officeDocument/2006/relationships/hyperlink" Target="#co_anchor_F51932122515_1" TargetMode="External"/><Relationship Id="rId99" Type="http://schemas.openxmlformats.org/officeDocument/2006/relationships/hyperlink" Target="http://www.westlaw.com/Link/Document/FullText?findType=Y&amp;serNum=1929126100&amp;pubNum=104&amp;originatingDoc=I82520ed09cc011d9a707f4371c9c34f0&amp;refType=RP&amp;originationContext=document&amp;vr=3.0&amp;rs=cblt1.0&amp;transitionType=DocumentItem&amp;contextData=(sc.Search)" TargetMode="External"/><Relationship Id="rId101" Type="http://schemas.openxmlformats.org/officeDocument/2006/relationships/hyperlink" Target="http://www.westlaw.com/Link/Document/FullText?findType=Y&amp;serNum=1932123622&amp;pubNum=708&amp;originatingDoc=I82520ed09cc011d9a707f4371c9c34f0&amp;refType=RP&amp;originationContext=document&amp;vr=3.0&amp;rs=cblt1.0&amp;transitionType=DocumentItem&amp;contextData=(sc.Search)" TargetMode="External"/><Relationship Id="rId122" Type="http://schemas.openxmlformats.org/officeDocument/2006/relationships/hyperlink" Target="http://www.westlaw.com/Link/Document/FullText?findType=Y&amp;serNum=1928125861&amp;pubNum=708&amp;originatingDoc=I82520ed09cc011d9a707f4371c9c34f0&amp;refType=RP&amp;originationContext=document&amp;vr=3.0&amp;rs=cblt1.0&amp;transitionType=DocumentItem&amp;contextData=(sc.Search)" TargetMode="External"/><Relationship Id="rId130" Type="http://schemas.openxmlformats.org/officeDocument/2006/relationships/hyperlink" Target="http://www.westlaw.com/Link/Document/FullText?findType=Y&amp;serNum=1926122634&amp;pubNum=708&amp;originatingDoc=I82520ed09cc011d9a707f4371c9c34f0&amp;refType=RP&amp;originationContext=document&amp;vr=3.0&amp;rs=cblt1.0&amp;transitionType=DocumentItem&amp;contextData=(sc.Search)" TargetMode="External"/><Relationship Id="rId135" Type="http://schemas.openxmlformats.org/officeDocument/2006/relationships/hyperlink" Target="http://www.westlaw.com/Link/Document/FullText?findType=Y&amp;serNum=1886180156&amp;pubNum=708&amp;originatingDoc=I82520ed09cc011d9a707f4371c9c34f0&amp;refType=RP&amp;originationContext=document&amp;vr=3.0&amp;rs=cblt1.0&amp;transitionType=DocumentItem&amp;contextData=(sc.Search)" TargetMode="External"/><Relationship Id="rId14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3" Type="http://schemas.openxmlformats.org/officeDocument/2006/relationships/image" Target="media/image3.png"/><Relationship Id="rId18" Type="http://schemas.openxmlformats.org/officeDocument/2006/relationships/hyperlink" Target="http://www.westlaw.com/Browse/Home/KeyNumber/92k4290/View.html?docGuid=I82520ed09cc011d9a707f4371c9c34f0&amp;originationContext=document&amp;vr=3.0&amp;rs=cblt1.0&amp;transitionType=DocumentItem&amp;contextData=(sc.Search)" TargetMode="External"/><Relationship Id="rId39" Type="http://schemas.openxmlformats.org/officeDocument/2006/relationships/hyperlink" Target="http://www.westlaw.com/Browse/Home/KeyNumber/260k92.59/View.html?docGuid=I82520ed09cc011d9a707f4371c9c34f0&amp;originationContext=document&amp;vr=3.0&amp;rs=cblt1.0&amp;transitionType=DocumentItem&amp;contextData=(sc.Search)" TargetMode="External"/><Relationship Id="rId109" Type="http://schemas.openxmlformats.org/officeDocument/2006/relationships/hyperlink" Target="#co_anchor_F81932122515_1" TargetMode="External"/><Relationship Id="rId34" Type="http://schemas.openxmlformats.org/officeDocument/2006/relationships/hyperlink" Target="http://www.westlaw.com/Browse/Home/KeyNumber/260k92.49/View.html?docGuid=I82520ed09cc011d9a707f4371c9c34f0&amp;originationContext=document&amp;vr=3.0&amp;rs=cblt1.0&amp;transitionType=DocumentItem&amp;contextData=(sc.Search)" TargetMode="External"/><Relationship Id="rId50" Type="http://schemas.openxmlformats.org/officeDocument/2006/relationships/hyperlink" Target="http://www.westlaw.com/Link/Document/FullText?findType=L&amp;pubNum=1000165&amp;cite=OKSTT52S278&amp;originatingDoc=I82520ed09cc011d9a707f4371c9c34f0&amp;refType=LQ&amp;originationContext=document&amp;vr=3.0&amp;rs=cblt1.0&amp;transitionType=DocumentItem&amp;contextData=(sc.Search)" TargetMode="External"/><Relationship Id="rId55" Type="http://schemas.openxmlformats.org/officeDocument/2006/relationships/hyperlink" Target="http://www.westlaw.com/Browse/Home/KeyNumber/30k477/View.html?docGuid=I82520ed09cc011d9a707f4371c9c34f0&amp;originationContext=document&amp;vr=3.0&amp;rs=cblt1.0&amp;transitionType=DocumentItem&amp;contextData=(sc.Search)" TargetMode="External"/><Relationship Id="rId76" Type="http://schemas.openxmlformats.org/officeDocument/2006/relationships/hyperlink" Target="http://www.westlaw.com/Link/Document/FullText?findType=L&amp;pubNum=1000165&amp;cite=OKSTT52S271&amp;originatingDoc=I82520ed09cc011d9a707f4371c9c34f0&amp;refType=LQ&amp;originationContext=document&amp;vr=3.0&amp;rs=cblt1.0&amp;transitionType=DocumentItem&amp;contextData=(sc.Search)" TargetMode="External"/><Relationship Id="rId97" Type="http://schemas.openxmlformats.org/officeDocument/2006/relationships/hyperlink" Target="http://www.westlaw.com/Link/Document/FullText?findType=Y&amp;serNum=1894180156&amp;pubNum=708&amp;originatingDoc=I82520ed09cc011d9a707f4371c9c34f0&amp;refType=RP&amp;originationContext=document&amp;vr=3.0&amp;rs=cblt1.0&amp;transitionType=DocumentItem&amp;contextData=(sc.Search)" TargetMode="External"/><Relationship Id="rId104" Type="http://schemas.openxmlformats.org/officeDocument/2006/relationships/hyperlink" Target="http://www.westlaw.com/Link/Document/FullText?findType=L&amp;pubNum=1000546&amp;cite=USCOARTIS8CL3&amp;originatingDoc=I82520ed09cc011d9a707f4371c9c34f0&amp;refType=LQ&amp;originationContext=document&amp;vr=3.0&amp;rs=cblt1.0&amp;transitionType=DocumentItem&amp;contextData=(sc.Search)" TargetMode="External"/><Relationship Id="rId120" Type="http://schemas.openxmlformats.org/officeDocument/2006/relationships/hyperlink" Target="http://www.westlaw.com/Link/Document/FullText?findType=Y&amp;serNum=1923120352&amp;pubNum=708&amp;originatingDoc=I82520ed09cc011d9a707f4371c9c34f0&amp;refType=RP&amp;originationContext=document&amp;vr=3.0&amp;rs=cblt1.0&amp;transitionType=DocumentItem&amp;contextData=(sc.Search)" TargetMode="External"/><Relationship Id="rId125" Type="http://schemas.openxmlformats.org/officeDocument/2006/relationships/hyperlink" Target="#co_anchor_F141932122515_1" TargetMode="External"/><Relationship Id="rId141" Type="http://schemas.openxmlformats.org/officeDocument/2006/relationships/hyperlink" Target="http://www.westlaw.com/Link/Document/FullText?findType=Y&amp;serNum=1927123739&amp;pubNum=708&amp;originatingDoc=I82520ed09cc011d9a707f4371c9c34f0&amp;refType=RP&amp;originationContext=document&amp;vr=3.0&amp;rs=cblt1.0&amp;transitionType=DocumentItem&amp;contextData=(sc.Search)" TargetMode="External"/><Relationship Id="rId7" Type="http://schemas.openxmlformats.org/officeDocument/2006/relationships/header" Target="header1.xml"/><Relationship Id="rId71" Type="http://schemas.openxmlformats.org/officeDocument/2006/relationships/hyperlink" Target="http://www.westlaw.com/Link/Document/FullText?findType=L&amp;pubNum=1000546&amp;cite=15USCAS715&amp;originatingDoc=I82520ed09cc011d9a707f4371c9c34f0&amp;refType=LQ&amp;originationContext=document&amp;vr=3.0&amp;rs=cblt1.0&amp;transitionType=DocumentItem&amp;contextData=(sc.Search)" TargetMode="External"/><Relationship Id="rId92" Type="http://schemas.openxmlformats.org/officeDocument/2006/relationships/hyperlink" Target="http://www.westlaw.com/Link/Document/FullText?findType=Y&amp;serNum=1931119714&amp;pubNum=660&amp;originatingDoc=I82520ed09cc011d9a707f4371c9c34f0&amp;refType=RP&amp;originationContext=document&amp;vr=3.0&amp;rs=cblt1.0&amp;transitionType=DocumentItem&amp;contextData=(sc.Search)" TargetMode="External"/><Relationship Id="rId2" Type="http://schemas.openxmlformats.org/officeDocument/2006/relationships/styles" Target="styles.xml"/><Relationship Id="rId29" Type="http://schemas.openxmlformats.org/officeDocument/2006/relationships/hyperlink" Target="http://www.westlaw.com/Link/Document/FullText?findType=L&amp;pubNum=1000546&amp;cite=USCOARTIS8CL3&amp;originatingDoc=I82520ed09cc011d9a707f4371c9c34f0&amp;refType=LQ&amp;originationContext=document&amp;vr=3.0&amp;rs=cblt1.0&amp;transitionType=DocumentItem&amp;contextData=(sc.Search)" TargetMode="External"/><Relationship Id="rId24" Type="http://schemas.openxmlformats.org/officeDocument/2006/relationships/hyperlink" Target="http://www.westlaw.com/Browse/Home/KeyNumber/361k1532/View.html?docGuid=I82520ed09cc011d9a707f4371c9c34f0&amp;originationContext=document&amp;vr=3.0&amp;rs=cblt1.0&amp;transitionType=DocumentItem&amp;contextData=(sc.Search)" TargetMode="External"/><Relationship Id="rId40" Type="http://schemas.openxmlformats.org/officeDocument/2006/relationships/hyperlink" Target="http://www.westlaw.com/Link/Document/FullText?findType=L&amp;pubNum=1000165&amp;cite=OKSTT52S271&amp;originatingDoc=I82520ed09cc011d9a707f4371c9c34f0&amp;refType=LQ&amp;originationContext=document&amp;vr=3.0&amp;rs=cblt1.0&amp;transitionType=DocumentItem&amp;contextData=(sc.Search)" TargetMode="External"/><Relationship Id="rId45" Type="http://schemas.openxmlformats.org/officeDocument/2006/relationships/hyperlink" Target="http://www.westlaw.com/Browse/Home/KeyNumber/212/View.html?docGuid=I82520ed09cc011d9a707f4371c9c34f0&amp;originationContext=document&amp;vr=3.0&amp;rs=cblt1.0&amp;transitionType=DocumentItem&amp;contextData=(sc.Search)" TargetMode="External"/><Relationship Id="rId66" Type="http://schemas.openxmlformats.org/officeDocument/2006/relationships/hyperlink" Target="http://www.westlaw.com/Link/Document/FullText?findType=L&amp;pubNum=1000165&amp;cite=OKSTT52S271&amp;originatingDoc=I82520ed09cc011d9a707f4371c9c34f0&amp;refType=LQ&amp;originationContext=document&amp;vr=3.0&amp;rs=cblt1.0&amp;transitionType=DocumentItem&amp;contextData=(sc.Search)" TargetMode="External"/><Relationship Id="rId87" Type="http://schemas.openxmlformats.org/officeDocument/2006/relationships/hyperlink" Target="http://www.westlaw.com/Link/Document/FullText?findType=Y&amp;serNum=1931122885&amp;pubNum=708&amp;originatingDoc=I82520ed09cc011d9a707f4371c9c34f0&amp;refType=RP&amp;originationContext=document&amp;vr=3.0&amp;rs=cblt1.0&amp;transitionType=DocumentItem&amp;contextData=(sc.Search)" TargetMode="External"/><Relationship Id="rId110" Type="http://schemas.openxmlformats.org/officeDocument/2006/relationships/hyperlink" Target="http://www.westlaw.com/Link/Document/FullText?findType=Y&amp;serNum=1923120327&amp;pubNum=780&amp;originatingDoc=I82520ed09cc011d9a707f4371c9c34f0&amp;refType=RP&amp;fi=co_pp_sp_780_693&amp;originationContext=document&amp;vr=3.0&amp;rs=cblt1.0&amp;transitionType=DocumentItem&amp;contextData=(sc.Search)#co_pp_sp_780_693" TargetMode="External"/><Relationship Id="rId115" Type="http://schemas.openxmlformats.org/officeDocument/2006/relationships/hyperlink" Target="#co_anchor_F101932122515_1" TargetMode="External"/><Relationship Id="rId131" Type="http://schemas.openxmlformats.org/officeDocument/2006/relationships/hyperlink" Target="#co_anchor_F151932122515_1" TargetMode="External"/><Relationship Id="rId136" Type="http://schemas.openxmlformats.org/officeDocument/2006/relationships/hyperlink" Target="http://www.westlaw.com/Link/Document/FullText?findType=Y&amp;serNum=1888180257&amp;pubNum=708&amp;originatingDoc=I82520ed09cc011d9a707f4371c9c34f0&amp;refType=RP&amp;originationContext=document&amp;vr=3.0&amp;rs=cblt1.0&amp;transitionType=DocumentItem&amp;contextData=(sc.Search)" TargetMode="External"/><Relationship Id="rId61" Type="http://schemas.openxmlformats.org/officeDocument/2006/relationships/hyperlink" Target="http://www.westlaw.com/Link/Document/FullText?findType=L&amp;pubNum=1000165&amp;cite=OKSTT52S278&amp;originatingDoc=I82520ed09cc011d9a707f4371c9c34f0&amp;refType=LQ&amp;originationContext=document&amp;vr=3.0&amp;rs=cblt1.0&amp;transitionType=DocumentItem&amp;contextData=(sc.Search)" TargetMode="External"/><Relationship Id="rId82" Type="http://schemas.openxmlformats.org/officeDocument/2006/relationships/hyperlink" Target="#co_anchor_F21932122515_1" TargetMode="External"/><Relationship Id="rId19" Type="http://schemas.openxmlformats.org/officeDocument/2006/relationships/hyperlink" Target="http://www.westlaw.com/Link/Document/FullText?findType=L&amp;pubNum=1000165&amp;cite=OKSTT52S271&amp;originatingDoc=I82520ed09cc011d9a707f4371c9c34f0&amp;refType=LQ&amp;originationContext=document&amp;vr=3.0&amp;rs=cblt1.0&amp;transitionType=DocumentItem&amp;contextData=(sc.Search)" TargetMode="External"/><Relationship Id="rId14" Type="http://schemas.openxmlformats.org/officeDocument/2006/relationships/hyperlink" Target="http://www.westlaw.com/Browse/Home/KeyNumber/260k92.2/View.html?docGuid=I82520ed09cc011d9a707f4371c9c34f0&amp;originationContext=document&amp;vr=3.0&amp;rs=cblt1.0&amp;transitionType=DocumentItem&amp;contextData=(sc.Search)" TargetMode="External"/><Relationship Id="rId30" Type="http://schemas.openxmlformats.org/officeDocument/2006/relationships/hyperlink" Target="http://www.westlaw.com/Link/Document/FullText?findType=L&amp;pubNum=1000165&amp;cite=OKSTT52S271&amp;originatingDoc=I82520ed09cc011d9a707f4371c9c34f0&amp;refType=LQ&amp;originationContext=document&amp;vr=3.0&amp;rs=cblt1.0&amp;transitionType=DocumentItem&amp;contextData=(sc.Search)" TargetMode="External"/><Relationship Id="rId35" Type="http://schemas.openxmlformats.org/officeDocument/2006/relationships/hyperlink" Target="http://www.westlaw.com/Link/Document/FullText?findType=L&amp;pubNum=1000165&amp;cite=OKSTT52S271&amp;originatingDoc=I82520ed09cc011d9a707f4371c9c34f0&amp;refType=LQ&amp;originationContext=document&amp;vr=3.0&amp;rs=cblt1.0&amp;transitionType=DocumentItem&amp;contextData=(sc.Search)" TargetMode="External"/><Relationship Id="rId56" Type="http://schemas.openxmlformats.org/officeDocument/2006/relationships/hyperlink" Target="http://www.westlaw.com/Browse/Home/KeyNumber/260/View.html?docGuid=I82520ed09cc011d9a707f4371c9c34f0&amp;originationContext=document&amp;vr=3.0&amp;rs=cblt1.0&amp;transitionType=DocumentItem&amp;contextData=(sc.Search)" TargetMode="External"/><Relationship Id="rId77" Type="http://schemas.openxmlformats.org/officeDocument/2006/relationships/hyperlink" Target="http://www.westlaw.com/Link/Document/FullText?findType=L&amp;pubNum=1000165&amp;cite=OKSTT52S273&amp;originatingDoc=I82520ed09cc011d9a707f4371c9c34f0&amp;refType=LQ&amp;originationContext=document&amp;vr=3.0&amp;rs=cblt1.0&amp;transitionType=DocumentItem&amp;contextData=(sc.Search)" TargetMode="External"/><Relationship Id="rId100" Type="http://schemas.openxmlformats.org/officeDocument/2006/relationships/hyperlink" Target="http://www.westlaw.com/Link/Document/FullText?findType=Y&amp;serNum=1932123151&amp;pubNum=708&amp;originatingDoc=I82520ed09cc011d9a707f4371c9c34f0&amp;refType=RP&amp;originationContext=document&amp;vr=3.0&amp;rs=cblt1.0&amp;transitionType=DocumentItem&amp;contextData=(sc.Search)" TargetMode="External"/><Relationship Id="rId105" Type="http://schemas.openxmlformats.org/officeDocument/2006/relationships/hyperlink" Target="http://www.westlaw.com/Link/Document/FullText?findType=Y&amp;serNum=1923120452&amp;pubNum=708&amp;originatingDoc=I82520ed09cc011d9a707f4371c9c34f0&amp;refType=RP&amp;originationContext=document&amp;vr=3.0&amp;rs=cblt1.0&amp;transitionType=DocumentItem&amp;contextData=(sc.Search)" TargetMode="External"/><Relationship Id="rId126" Type="http://schemas.openxmlformats.org/officeDocument/2006/relationships/hyperlink" Target="http://www.westlaw.com/Link/Document/FullText?findType=Y&amp;serNum=1883180287&amp;pubNum=708&amp;originatingDoc=I82520ed09cc011d9a707f4371c9c34f0&amp;refType=RP&amp;originationContext=document&amp;vr=3.0&amp;rs=cblt1.0&amp;transitionType=DocumentItem&amp;contextData=(sc.Search)"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13012</Words>
  <Characters>74175</Characters>
  <Application>Microsoft Office Word</Application>
  <DocSecurity>0</DocSecurity>
  <Lines>618</Lines>
  <Paragraphs>174</Paragraphs>
  <ScaleCrop>false</ScaleCrop>
  <Company/>
  <LinksUpToDate>false</LinksUpToDate>
  <CharactersWithSpaces>87013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Regan</dc:creator>
  <cp:keywords/>
  <dc:description/>
  <cp:lastModifiedBy>Mark Regan</cp:lastModifiedBy>
  <cp:revision>2</cp:revision>
  <dcterms:created xsi:type="dcterms:W3CDTF">2020-07-26T18:15:00Z</dcterms:created>
  <dcterms:modified xsi:type="dcterms:W3CDTF">2020-07-26T18:15:00Z</dcterms:modified>
</cp:coreProperties>
</file>