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9E7FDB" w14:textId="77777777" w:rsidR="00CD086C" w:rsidRPr="009E7861" w:rsidRDefault="00CD086C" w:rsidP="00CD086C">
      <w:pPr>
        <w:rPr>
          <w:rFonts w:ascii="Times New Roman" w:eastAsia="Times New Roman" w:hAnsi="Times New Roman" w:cs="Times New Roman"/>
          <w:sz w:val="24"/>
          <w:szCs w:val="24"/>
        </w:rPr>
      </w:pPr>
      <w:r w:rsidRPr="009E7861">
        <w:rPr>
          <w:rFonts w:ascii="Times New Roman" w:hAnsi="Times New Roman" w:cs="Times New Roman"/>
          <w:sz w:val="24"/>
          <w:szCs w:val="24"/>
        </w:rPr>
        <w:t xml:space="preserve">45 C.F.R. </w:t>
      </w:r>
      <w:r w:rsidRPr="009E7861">
        <w:rPr>
          <w:rFonts w:ascii="Times New Roman" w:eastAsia="Times New Roman" w:hAnsi="Times New Roman" w:cs="Times New Roman"/>
          <w:sz w:val="24"/>
          <w:szCs w:val="24"/>
        </w:rPr>
        <w:t>§ 155.1300 Basis and purpose.</w:t>
      </w:r>
    </w:p>
    <w:p w14:paraId="179BDCF0" w14:textId="41CAAE20"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Statutory basis. This subpart implements provisions of section 1332 of the </w:t>
      </w:r>
      <w:r w:rsidRPr="00CD086C">
        <w:rPr>
          <w:rFonts w:ascii="Times New Roman" w:eastAsia="Times New Roman" w:hAnsi="Times New Roman" w:cs="Times New Roman"/>
          <w:color w:val="0000FF"/>
          <w:sz w:val="24"/>
          <w:szCs w:val="24"/>
        </w:rPr>
        <w:t>Affordable Care Act</w:t>
      </w:r>
      <w:r w:rsidRPr="00CD086C">
        <w:rPr>
          <w:rFonts w:ascii="Times New Roman" w:eastAsia="Times New Roman" w:hAnsi="Times New Roman" w:cs="Times New Roman"/>
          <w:sz w:val="24"/>
          <w:szCs w:val="24"/>
        </w:rPr>
        <w:t xml:space="preserve">, relating to Waivers for </w:t>
      </w:r>
      <w:r w:rsidRPr="00CD086C">
        <w:rPr>
          <w:rFonts w:ascii="Times New Roman" w:eastAsia="Times New Roman" w:hAnsi="Times New Roman" w:cs="Times New Roman"/>
          <w:color w:val="0000FF"/>
          <w:sz w:val="24"/>
          <w:szCs w:val="24"/>
        </w:rPr>
        <w:t>State</w:t>
      </w:r>
      <w:r w:rsidRPr="00CD086C">
        <w:rPr>
          <w:rFonts w:ascii="Times New Roman" w:eastAsia="Times New Roman" w:hAnsi="Times New Roman" w:cs="Times New Roman"/>
          <w:sz w:val="24"/>
          <w:szCs w:val="24"/>
        </w:rPr>
        <w:t xml:space="preserve"> Innovation, which the Secretary may authorize for </w:t>
      </w:r>
      <w:hyperlink r:id="rId5" w:history="1">
        <w:r w:rsidRPr="00CD086C">
          <w:rPr>
            <w:rFonts w:ascii="Times New Roman" w:eastAsia="Times New Roman" w:hAnsi="Times New Roman" w:cs="Times New Roman"/>
            <w:color w:val="0000FF"/>
            <w:sz w:val="24"/>
            <w:szCs w:val="24"/>
          </w:rPr>
          <w:t>plan years</w:t>
        </w:r>
      </w:hyperlink>
      <w:r w:rsidRPr="00CD086C">
        <w:rPr>
          <w:rFonts w:ascii="Times New Roman" w:eastAsia="Times New Roman" w:hAnsi="Times New Roman" w:cs="Times New Roman"/>
          <w:sz w:val="24"/>
          <w:szCs w:val="24"/>
        </w:rPr>
        <w:t xml:space="preserve"> beginning on or after January 1, 2017. Section 1332 of the </w:t>
      </w:r>
      <w:r w:rsidRPr="00CD086C">
        <w:rPr>
          <w:rFonts w:ascii="Times New Roman" w:eastAsia="Times New Roman" w:hAnsi="Times New Roman" w:cs="Times New Roman"/>
          <w:color w:val="0000FF"/>
          <w:sz w:val="24"/>
          <w:szCs w:val="24"/>
        </w:rPr>
        <w:t>Affordable Care Act</w:t>
      </w:r>
      <w:r w:rsidRPr="00CD086C">
        <w:rPr>
          <w:rFonts w:ascii="Times New Roman" w:eastAsia="Times New Roman" w:hAnsi="Times New Roman" w:cs="Times New Roman"/>
          <w:sz w:val="24"/>
          <w:szCs w:val="24"/>
        </w:rPr>
        <w:t xml:space="preserve"> requires the Secretary to issue regulations that provide for </w:t>
      </w:r>
      <w:proofErr w:type="gramStart"/>
      <w:r w:rsidRPr="00CD086C">
        <w:rPr>
          <w:rFonts w:ascii="Times New Roman" w:eastAsia="Times New Roman" w:hAnsi="Times New Roman" w:cs="Times New Roman"/>
          <w:sz w:val="24"/>
          <w:szCs w:val="24"/>
        </w:rPr>
        <w:t>all of</w:t>
      </w:r>
      <w:proofErr w:type="gramEnd"/>
      <w:r w:rsidRPr="00CD086C">
        <w:rPr>
          <w:rFonts w:ascii="Times New Roman" w:eastAsia="Times New Roman" w:hAnsi="Times New Roman" w:cs="Times New Roman"/>
          <w:sz w:val="24"/>
          <w:szCs w:val="24"/>
        </w:rPr>
        <w:t xml:space="preserve"> the following: </w:t>
      </w:r>
    </w:p>
    <w:p w14:paraId="517797B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A process for </w:t>
      </w:r>
      <w:hyperlink r:id="rId6"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at the </w:t>
      </w:r>
      <w:hyperlink r:id="rId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level, including public hearings, sufficient to ensure a meaningful level of public input. </w:t>
      </w:r>
    </w:p>
    <w:p w14:paraId="7404079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A process for the submission of an application that ensures the </w:t>
      </w:r>
      <w:hyperlink r:id="rId8" w:history="1">
        <w:r w:rsidRPr="00CD086C">
          <w:rPr>
            <w:rFonts w:ascii="Times New Roman" w:eastAsia="Times New Roman" w:hAnsi="Times New Roman" w:cs="Times New Roman"/>
            <w:color w:val="0000FF"/>
            <w:sz w:val="24"/>
            <w:szCs w:val="24"/>
          </w:rPr>
          <w:t>disclosure</w:t>
        </w:r>
      </w:hyperlink>
      <w:r w:rsidRPr="00CD086C">
        <w:rPr>
          <w:rFonts w:ascii="Times New Roman" w:eastAsia="Times New Roman" w:hAnsi="Times New Roman" w:cs="Times New Roman"/>
          <w:sz w:val="24"/>
          <w:szCs w:val="24"/>
        </w:rPr>
        <w:t xml:space="preserve"> of all of the following: </w:t>
      </w:r>
    </w:p>
    <w:p w14:paraId="59A524D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 The provisions of law that the </w:t>
      </w:r>
      <w:hyperlink r:id="rId9"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involved seeks to waive. </w:t>
      </w:r>
    </w:p>
    <w:p w14:paraId="2F825FD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 The specific </w:t>
      </w:r>
      <w:hyperlink r:id="rId10" w:history="1">
        <w:r w:rsidRPr="00CD086C">
          <w:rPr>
            <w:rFonts w:ascii="Times New Roman" w:eastAsia="Times New Roman" w:hAnsi="Times New Roman" w:cs="Times New Roman"/>
            <w:color w:val="0000FF"/>
            <w:sz w:val="24"/>
            <w:szCs w:val="24"/>
          </w:rPr>
          <w:t>plans</w:t>
        </w:r>
      </w:hyperlink>
      <w:r w:rsidRPr="00CD086C">
        <w:rPr>
          <w:rFonts w:ascii="Times New Roman" w:eastAsia="Times New Roman" w:hAnsi="Times New Roman" w:cs="Times New Roman"/>
          <w:sz w:val="24"/>
          <w:szCs w:val="24"/>
        </w:rPr>
        <w:t xml:space="preserve"> of the </w:t>
      </w:r>
      <w:hyperlink r:id="rId1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to ensure that the waiver will meet all requirements specified in section 1332. </w:t>
      </w:r>
    </w:p>
    <w:p w14:paraId="37A35C8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A process for the provision of </w:t>
      </w:r>
      <w:hyperlink r:id="rId12"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after a waiver application is received by the Secretary, that is sufficient to ensure a meaningful level of public input and that does not impose requirements that are in addition to, or duplicative of, requirements imposed under the Administrative Procedures Act, or requirements that are unreasonable or unnecessarily burdensome with respect to </w:t>
      </w:r>
      <w:hyperlink r:id="rId1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compliance. </w:t>
      </w:r>
    </w:p>
    <w:p w14:paraId="11215AF9"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(4) A process for the submission of reports to the Secretary by a </w:t>
      </w:r>
      <w:hyperlink r:id="rId14"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relating to the implementation of a waiver. </w:t>
      </w:r>
    </w:p>
    <w:p w14:paraId="47ABB13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(5) A process for the periodic evaluation by the Secretary of </w:t>
      </w:r>
      <w:hyperlink r:id="rId15" w:history="1">
        <w:r w:rsidRPr="00CD086C">
          <w:rPr>
            <w:rFonts w:ascii="Times New Roman" w:eastAsia="Times New Roman" w:hAnsi="Times New Roman" w:cs="Times New Roman"/>
            <w:color w:val="0000FF"/>
            <w:sz w:val="24"/>
            <w:szCs w:val="24"/>
          </w:rPr>
          <w:t>programs</w:t>
        </w:r>
      </w:hyperlink>
      <w:r w:rsidRPr="00CD086C">
        <w:rPr>
          <w:rFonts w:ascii="Times New Roman" w:eastAsia="Times New Roman" w:hAnsi="Times New Roman" w:cs="Times New Roman"/>
          <w:sz w:val="24"/>
          <w:szCs w:val="24"/>
        </w:rPr>
        <w:t xml:space="preserve"> under waivers. </w:t>
      </w:r>
    </w:p>
    <w:p w14:paraId="20BA4BA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Purpose. This subpart sets forth certain procedural requirements for Waivers for </w:t>
      </w:r>
      <w:hyperlink r:id="rId1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Innovation under section 1332 of the </w:t>
      </w:r>
      <w:hyperlink r:id="rId17"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t>
      </w:r>
    </w:p>
    <w:p w14:paraId="0F2DB458"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155.1302 Coordinated waiver process.</w:t>
      </w:r>
    </w:p>
    <w:p w14:paraId="676C402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Coordination with applications for waivers under other Federal laws. A </w:t>
      </w:r>
      <w:hyperlink r:id="rId1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may submit a single application to the Secretary for a waiver under section 1332 of the </w:t>
      </w:r>
      <w:hyperlink r:id="rId19"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and a waiver under one or more of the existing waiver processes applicable under titles XVIII, XIX, and XXI of the Act, or under any other Federal law relating to the provision of health care items or services, provided that such application is consistent with the procedures described in this part, the procedures for demonstrations under section 1115 of the Act, if applicable, and the procedures under any other applicable Federal law under which the </w:t>
      </w:r>
      <w:hyperlink r:id="rId2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seeks a waiver. </w:t>
      </w:r>
    </w:p>
    <w:p w14:paraId="3EE6DEA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Coordinated process for section 1332 waivers. A </w:t>
      </w:r>
      <w:hyperlink r:id="rId2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seeking a section 1332 waiver must submit a waiver application to the Secretary. Any application submitted to the Secretary that requests to waive sections 36B, 4980H, or 5000A of the </w:t>
      </w:r>
      <w:hyperlink r:id="rId22" w:history="1">
        <w:r w:rsidRPr="00CD086C">
          <w:rPr>
            <w:rFonts w:ascii="Times New Roman" w:eastAsia="Times New Roman" w:hAnsi="Times New Roman" w:cs="Times New Roman"/>
            <w:color w:val="0000FF"/>
            <w:sz w:val="24"/>
            <w:szCs w:val="24"/>
          </w:rPr>
          <w:t>Code</w:t>
        </w:r>
      </w:hyperlink>
      <w:r w:rsidRPr="00CD086C">
        <w:rPr>
          <w:rFonts w:ascii="Times New Roman" w:eastAsia="Times New Roman" w:hAnsi="Times New Roman" w:cs="Times New Roman"/>
          <w:sz w:val="24"/>
          <w:szCs w:val="24"/>
        </w:rPr>
        <w:t xml:space="preserve">, in accordance with section </w:t>
      </w:r>
      <w:r w:rsidRPr="00CD086C">
        <w:rPr>
          <w:rFonts w:ascii="Times New Roman" w:eastAsia="Times New Roman" w:hAnsi="Times New Roman" w:cs="Times New Roman"/>
          <w:sz w:val="24"/>
          <w:szCs w:val="24"/>
        </w:rPr>
        <w:lastRenderedPageBreak/>
        <w:t xml:space="preserve">1332(a)(2)(D) of the </w:t>
      </w:r>
      <w:hyperlink r:id="rId23"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shall upon receipt be transmitted by the Secretary to the Secretary of the Treasury to be reviewed in accordance with </w:t>
      </w:r>
      <w:hyperlink r:id="rId24" w:history="1">
        <w:r w:rsidRPr="00CD086C">
          <w:rPr>
            <w:rFonts w:ascii="Times New Roman" w:eastAsia="Times New Roman" w:hAnsi="Times New Roman" w:cs="Times New Roman"/>
            <w:color w:val="0000FF"/>
            <w:sz w:val="24"/>
            <w:szCs w:val="24"/>
          </w:rPr>
          <w:t>31 CFR part 33</w:t>
        </w:r>
      </w:hyperlink>
      <w:r w:rsidRPr="00CD086C">
        <w:rPr>
          <w:rFonts w:ascii="Times New Roman" w:eastAsia="Times New Roman" w:hAnsi="Times New Roman" w:cs="Times New Roman"/>
          <w:sz w:val="24"/>
          <w:szCs w:val="24"/>
        </w:rPr>
        <w:t xml:space="preserve">. </w:t>
      </w:r>
    </w:p>
    <w:p w14:paraId="62470916"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155.1304 Definitions.</w:t>
      </w:r>
    </w:p>
    <w:p w14:paraId="5A346AF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For the purposes of this subpart: </w:t>
      </w:r>
    </w:p>
    <w:p w14:paraId="27F8FEC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Complete application means an application that has been submitted and for which the Secretary and the Secretary of the Treasury, as applicable, have made a preliminary determination that it includes all required information and satisfies all requirements that are described in </w:t>
      </w:r>
      <w:hyperlink r:id="rId25" w:anchor="f" w:history="1">
        <w:r w:rsidRPr="00CD086C">
          <w:rPr>
            <w:rFonts w:ascii="Times New Roman" w:eastAsia="Times New Roman" w:hAnsi="Times New Roman" w:cs="Times New Roman"/>
            <w:color w:val="0000FF"/>
            <w:sz w:val="24"/>
            <w:szCs w:val="24"/>
          </w:rPr>
          <w:t>§ 155.1308(f)</w:t>
        </w:r>
      </w:hyperlink>
      <w:r w:rsidRPr="00CD086C">
        <w:rPr>
          <w:rFonts w:ascii="Times New Roman" w:eastAsia="Times New Roman" w:hAnsi="Times New Roman" w:cs="Times New Roman"/>
          <w:sz w:val="24"/>
          <w:szCs w:val="24"/>
        </w:rPr>
        <w:t xml:space="preserve">. </w:t>
      </w:r>
    </w:p>
    <w:p w14:paraId="165382E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Public notice means a notice issued by a government </w:t>
      </w:r>
      <w:hyperlink r:id="rId26" w:history="1">
        <w:r w:rsidRPr="00CD086C">
          <w:rPr>
            <w:rFonts w:ascii="Times New Roman" w:eastAsia="Times New Roman" w:hAnsi="Times New Roman" w:cs="Times New Roman"/>
            <w:color w:val="0000FF"/>
            <w:sz w:val="24"/>
            <w:szCs w:val="24"/>
          </w:rPr>
          <w:t>agency</w:t>
        </w:r>
      </w:hyperlink>
      <w:r w:rsidRPr="00CD086C">
        <w:rPr>
          <w:rFonts w:ascii="Times New Roman" w:eastAsia="Times New Roman" w:hAnsi="Times New Roman" w:cs="Times New Roman"/>
          <w:sz w:val="24"/>
          <w:szCs w:val="24"/>
        </w:rPr>
        <w:t xml:space="preserve"> or legislative body that contains sufficient detail to notify the public at large of a proposed action consistent with </w:t>
      </w:r>
      <w:hyperlink r:id="rId27" w:history="1">
        <w:r w:rsidRPr="00CD086C">
          <w:rPr>
            <w:rFonts w:ascii="Times New Roman" w:eastAsia="Times New Roman" w:hAnsi="Times New Roman" w:cs="Times New Roman"/>
            <w:color w:val="0000FF"/>
            <w:sz w:val="24"/>
            <w:szCs w:val="24"/>
          </w:rPr>
          <w:t>§ 155.1312</w:t>
        </w:r>
      </w:hyperlink>
      <w:r w:rsidRPr="00CD086C">
        <w:rPr>
          <w:rFonts w:ascii="Times New Roman" w:eastAsia="Times New Roman" w:hAnsi="Times New Roman" w:cs="Times New Roman"/>
          <w:sz w:val="24"/>
          <w:szCs w:val="24"/>
        </w:rPr>
        <w:t xml:space="preserve">. </w:t>
      </w:r>
    </w:p>
    <w:p w14:paraId="1CD15A2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Section 1332 waiver means a Waiver for </w:t>
      </w:r>
      <w:hyperlink r:id="rId2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Innovation under section 1332 of the </w:t>
      </w:r>
      <w:hyperlink r:id="rId29"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t>
      </w:r>
    </w:p>
    <w:p w14:paraId="083464D7"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155.1308 Application procedures.</w:t>
      </w:r>
    </w:p>
    <w:p w14:paraId="5D0D4FC4"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Acceptable formats for applications. </w:t>
      </w:r>
      <w:hyperlink r:id="rId30" w:history="1">
        <w:r w:rsidRPr="00CD086C">
          <w:rPr>
            <w:rFonts w:ascii="Times New Roman" w:eastAsia="Times New Roman" w:hAnsi="Times New Roman" w:cs="Times New Roman"/>
            <w:color w:val="0000FF"/>
            <w:sz w:val="24"/>
            <w:szCs w:val="24"/>
          </w:rPr>
          <w:t>Applications</w:t>
        </w:r>
      </w:hyperlink>
      <w:r w:rsidRPr="00CD086C">
        <w:rPr>
          <w:rFonts w:ascii="Times New Roman" w:eastAsia="Times New Roman" w:hAnsi="Times New Roman" w:cs="Times New Roman"/>
          <w:sz w:val="24"/>
          <w:szCs w:val="24"/>
        </w:rPr>
        <w:t xml:space="preserve"> for initial approval of a section 1332 waiver shall be submitted in electronic format to the Secretary. </w:t>
      </w:r>
    </w:p>
    <w:p w14:paraId="62B9ECD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Application timing. </w:t>
      </w:r>
      <w:hyperlink r:id="rId31" w:history="1">
        <w:r w:rsidRPr="00CD086C">
          <w:rPr>
            <w:rFonts w:ascii="Times New Roman" w:eastAsia="Times New Roman" w:hAnsi="Times New Roman" w:cs="Times New Roman"/>
            <w:color w:val="0000FF"/>
            <w:sz w:val="24"/>
            <w:szCs w:val="24"/>
          </w:rPr>
          <w:t>Applications</w:t>
        </w:r>
      </w:hyperlink>
      <w:r w:rsidRPr="00CD086C">
        <w:rPr>
          <w:rFonts w:ascii="Times New Roman" w:eastAsia="Times New Roman" w:hAnsi="Times New Roman" w:cs="Times New Roman"/>
          <w:sz w:val="24"/>
          <w:szCs w:val="24"/>
        </w:rPr>
        <w:t xml:space="preserve"> for initial approval of a section 1332 waiver must be submitted sufficiently in advance of the requested effective date to allow for an appropriate implementation timeline. </w:t>
      </w:r>
    </w:p>
    <w:p w14:paraId="11C0D24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Preliminary review. Each application for a section 1332 waiver will be subject to a preliminary review by the Secretary and the Secretary of the Treasury, as applicable, who will make a preliminary determination that the application is complete. A submitted application will not be deemed received until the Secretary and the Secretary of the Treasury, as applicable, have made the preliminary determination that the application is complete. </w:t>
      </w:r>
    </w:p>
    <w:p w14:paraId="2D4E8D4F"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The Secretary and the Secretary of the Treasury, as applicable, will complete the preliminary review of the application within 45 days after it is submitted. </w:t>
      </w:r>
    </w:p>
    <w:p w14:paraId="398FE20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If the Secretary and the Secretary of the Treasury, as applicable, determine that the application is not complete, the Secretary will send the </w:t>
      </w:r>
      <w:hyperlink r:id="rId32"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 written notice of the elements missing from the application. </w:t>
      </w:r>
    </w:p>
    <w:p w14:paraId="5FDFB1B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The preliminary determination that an application is complete does not preclude a finding during the 180-day Federal decision-making period that a necessary element of the application is missing or insufficient. </w:t>
      </w:r>
    </w:p>
    <w:p w14:paraId="23B26F29"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(d) Notification of preliminary determination. Upon making the preliminary determination that an application is complete, as defined in this part, the Secretary will send the </w:t>
      </w:r>
      <w:hyperlink r:id="rId3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 written </w:t>
      </w:r>
      <w:r w:rsidRPr="00CD086C">
        <w:rPr>
          <w:rFonts w:ascii="Times New Roman" w:eastAsia="Times New Roman" w:hAnsi="Times New Roman" w:cs="Times New Roman"/>
          <w:sz w:val="24"/>
          <w:szCs w:val="24"/>
        </w:rPr>
        <w:lastRenderedPageBreak/>
        <w:t xml:space="preserve">notice informing the </w:t>
      </w:r>
      <w:hyperlink r:id="rId34"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that the Secretary and the Secretary of the Treasury, as applicable, have made such a preliminary determination. That date will also mark the beginning of the Federal </w:t>
      </w:r>
      <w:hyperlink r:id="rId35"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process and the 180-day Federal decision-making period. </w:t>
      </w:r>
    </w:p>
    <w:p w14:paraId="0F5F470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(e) Public notice of completed application. Upon receipt of a </w:t>
      </w:r>
      <w:hyperlink r:id="rId36" w:history="1">
        <w:r w:rsidRPr="00CD086C">
          <w:rPr>
            <w:rFonts w:ascii="Times New Roman" w:eastAsia="Times New Roman" w:hAnsi="Times New Roman" w:cs="Times New Roman"/>
            <w:color w:val="0000FF"/>
            <w:sz w:val="24"/>
            <w:szCs w:val="24"/>
          </w:rPr>
          <w:t>complete application</w:t>
        </w:r>
      </w:hyperlink>
      <w:r w:rsidRPr="00CD086C">
        <w:rPr>
          <w:rFonts w:ascii="Times New Roman" w:eastAsia="Times New Roman" w:hAnsi="Times New Roman" w:cs="Times New Roman"/>
          <w:sz w:val="24"/>
          <w:szCs w:val="24"/>
        </w:rPr>
        <w:t xml:space="preserve"> for an initial section 1332 waiver, the Secretary will - </w:t>
      </w:r>
    </w:p>
    <w:p w14:paraId="55345D7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Make available to the public the application, and all related </w:t>
      </w:r>
      <w:hyperlink r:id="rId3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submissions, including all supplemental information received from the </w:t>
      </w:r>
      <w:hyperlink r:id="rId3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following the receipt of a </w:t>
      </w:r>
      <w:hyperlink r:id="rId39" w:history="1">
        <w:r w:rsidRPr="00CD086C">
          <w:rPr>
            <w:rFonts w:ascii="Times New Roman" w:eastAsia="Times New Roman" w:hAnsi="Times New Roman" w:cs="Times New Roman"/>
            <w:color w:val="0000FF"/>
            <w:sz w:val="24"/>
            <w:szCs w:val="24"/>
          </w:rPr>
          <w:t>complete application</w:t>
        </w:r>
      </w:hyperlink>
      <w:r w:rsidRPr="00CD086C">
        <w:rPr>
          <w:rFonts w:ascii="Times New Roman" w:eastAsia="Times New Roman" w:hAnsi="Times New Roman" w:cs="Times New Roman"/>
          <w:sz w:val="24"/>
          <w:szCs w:val="24"/>
        </w:rPr>
        <w:t xml:space="preserve"> for a section 1332 waiver. </w:t>
      </w:r>
    </w:p>
    <w:p w14:paraId="54F25F1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Indicate the status of the application. </w:t>
      </w:r>
    </w:p>
    <w:p w14:paraId="7137E74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(f) Criteria for a complete application. An application for initial approval of a section 1332 waiver will not be considered complete unless the application meets </w:t>
      </w:r>
      <w:proofErr w:type="gramStart"/>
      <w:r w:rsidRPr="00CD086C">
        <w:rPr>
          <w:rFonts w:ascii="Times New Roman" w:eastAsia="Times New Roman" w:hAnsi="Times New Roman" w:cs="Times New Roman"/>
          <w:sz w:val="24"/>
          <w:szCs w:val="24"/>
        </w:rPr>
        <w:t>all of</w:t>
      </w:r>
      <w:proofErr w:type="gramEnd"/>
      <w:r w:rsidRPr="00CD086C">
        <w:rPr>
          <w:rFonts w:ascii="Times New Roman" w:eastAsia="Times New Roman" w:hAnsi="Times New Roman" w:cs="Times New Roman"/>
          <w:sz w:val="24"/>
          <w:szCs w:val="24"/>
        </w:rPr>
        <w:t xml:space="preserve"> the following conditions: </w:t>
      </w:r>
    </w:p>
    <w:p w14:paraId="08B05F6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Complies with paragraphs (a) through (f) of this section. </w:t>
      </w:r>
    </w:p>
    <w:p w14:paraId="7149506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Provides written evidence of the </w:t>
      </w:r>
      <w:hyperlink r:id="rId4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compliance with the </w:t>
      </w:r>
      <w:hyperlink r:id="rId41"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requirements set forth in </w:t>
      </w:r>
      <w:hyperlink r:id="rId42" w:history="1">
        <w:r w:rsidRPr="00CD086C">
          <w:rPr>
            <w:rFonts w:ascii="Times New Roman" w:eastAsia="Times New Roman" w:hAnsi="Times New Roman" w:cs="Times New Roman"/>
            <w:color w:val="0000FF"/>
            <w:sz w:val="24"/>
            <w:szCs w:val="24"/>
          </w:rPr>
          <w:t>§ 155.1312</w:t>
        </w:r>
      </w:hyperlink>
      <w:r w:rsidRPr="00CD086C">
        <w:rPr>
          <w:rFonts w:ascii="Times New Roman" w:eastAsia="Times New Roman" w:hAnsi="Times New Roman" w:cs="Times New Roman"/>
          <w:sz w:val="24"/>
          <w:szCs w:val="24"/>
        </w:rPr>
        <w:t xml:space="preserve">, including a description of the key issues raised during the </w:t>
      </w:r>
      <w:hyperlink r:id="rId4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t>
      </w:r>
      <w:hyperlink r:id="rId44"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w:t>
      </w:r>
    </w:p>
    <w:p w14:paraId="249F6D8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Provides </w:t>
      </w:r>
      <w:proofErr w:type="gramStart"/>
      <w:r w:rsidRPr="00CD086C">
        <w:rPr>
          <w:rFonts w:ascii="Times New Roman" w:eastAsia="Times New Roman" w:hAnsi="Times New Roman" w:cs="Times New Roman"/>
          <w:sz w:val="24"/>
          <w:szCs w:val="24"/>
        </w:rPr>
        <w:t>all of</w:t>
      </w:r>
      <w:proofErr w:type="gramEnd"/>
      <w:r w:rsidRPr="00CD086C">
        <w:rPr>
          <w:rFonts w:ascii="Times New Roman" w:eastAsia="Times New Roman" w:hAnsi="Times New Roman" w:cs="Times New Roman"/>
          <w:sz w:val="24"/>
          <w:szCs w:val="24"/>
        </w:rPr>
        <w:t xml:space="preserve"> the following: </w:t>
      </w:r>
    </w:p>
    <w:p w14:paraId="13394DFA" w14:textId="15564882" w:rsidR="00CD086C" w:rsidRPr="009E7861" w:rsidRDefault="00CD086C" w:rsidP="009E7861">
      <w:pPr>
        <w:autoSpaceDE w:val="0"/>
        <w:autoSpaceDN w:val="0"/>
        <w:adjustRightInd w:val="0"/>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 A comprehensive description of the </w:t>
      </w:r>
      <w:hyperlink r:id="rId4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legislation and </w:t>
      </w:r>
      <w:hyperlink r:id="rId46" w:history="1">
        <w:r w:rsidRPr="00CD086C">
          <w:rPr>
            <w:rFonts w:ascii="Times New Roman" w:eastAsia="Times New Roman" w:hAnsi="Times New Roman" w:cs="Times New Roman"/>
            <w:color w:val="0000FF"/>
            <w:sz w:val="24"/>
            <w:szCs w:val="24"/>
          </w:rPr>
          <w:t>program</w:t>
        </w:r>
      </w:hyperlink>
      <w:r w:rsidRPr="00CD086C">
        <w:rPr>
          <w:rFonts w:ascii="Times New Roman" w:eastAsia="Times New Roman" w:hAnsi="Times New Roman" w:cs="Times New Roman"/>
          <w:sz w:val="24"/>
          <w:szCs w:val="24"/>
        </w:rPr>
        <w:t xml:space="preserve"> to implement a </w:t>
      </w:r>
      <w:hyperlink r:id="rId47" w:history="1">
        <w:r w:rsidRPr="00CD086C">
          <w:rPr>
            <w:rFonts w:ascii="Times New Roman" w:eastAsia="Times New Roman" w:hAnsi="Times New Roman" w:cs="Times New Roman"/>
            <w:color w:val="0000FF"/>
            <w:sz w:val="24"/>
            <w:szCs w:val="24"/>
          </w:rPr>
          <w:t>plan</w:t>
        </w:r>
      </w:hyperlink>
      <w:r w:rsidRPr="00CD086C">
        <w:rPr>
          <w:rFonts w:ascii="Times New Roman" w:eastAsia="Times New Roman" w:hAnsi="Times New Roman" w:cs="Times New Roman"/>
          <w:sz w:val="24"/>
          <w:szCs w:val="24"/>
        </w:rPr>
        <w:t xml:space="preserve"> meeting the requirements for a waiver under </w:t>
      </w:r>
      <w:r w:rsidRPr="00CD086C">
        <w:rPr>
          <w:rFonts w:ascii="Times New Roman" w:eastAsia="Times New Roman" w:hAnsi="Times New Roman" w:cs="Times New Roman"/>
          <w:color w:val="000000" w:themeColor="text1"/>
          <w:sz w:val="24"/>
          <w:szCs w:val="24"/>
        </w:rPr>
        <w:t>section 1332</w:t>
      </w:r>
      <w:r w:rsidR="009E7861" w:rsidRPr="009E7861">
        <w:rPr>
          <w:rFonts w:ascii="Times New Roman" w:eastAsia="Times New Roman" w:hAnsi="Times New Roman" w:cs="Times New Roman"/>
          <w:color w:val="000000" w:themeColor="text1"/>
          <w:sz w:val="24"/>
          <w:szCs w:val="24"/>
        </w:rPr>
        <w:t xml:space="preserve"> </w:t>
      </w:r>
      <w:r w:rsidR="009E7861" w:rsidRPr="009E7861">
        <w:rPr>
          <w:rFonts w:ascii="TimesNewRomanPSMT" w:hAnsi="TimesNewRomanPSMT" w:cs="TimesNewRomanPSMT"/>
          <w:color w:val="FF0000"/>
          <w:sz w:val="24"/>
          <w:szCs w:val="24"/>
        </w:rPr>
        <w:t xml:space="preserve">of PPACA. In analyzing whether the State has satisfied the requirement under section 1332(b)(2)(A) of PPACA that the State enact a law authorizing a waiver under section 1332 of PPACA, the Secretary and the Secretary of the Treasury, as applicable, may consider existing State legislation combined with </w:t>
      </w:r>
      <w:proofErr w:type="gramStart"/>
      <w:r w:rsidR="009E7861" w:rsidRPr="009E7861">
        <w:rPr>
          <w:rFonts w:ascii="TimesNewRomanPSMT" w:hAnsi="TimesNewRomanPSMT" w:cs="TimesNewRomanPSMT"/>
          <w:color w:val="FF0000"/>
          <w:sz w:val="24"/>
          <w:szCs w:val="24"/>
        </w:rPr>
        <w:t>duly-enacted</w:t>
      </w:r>
      <w:proofErr w:type="gramEnd"/>
      <w:r w:rsidR="009E7861" w:rsidRPr="009E7861">
        <w:rPr>
          <w:rFonts w:ascii="TimesNewRomanPSMT" w:hAnsi="TimesNewRomanPSMT" w:cs="TimesNewRomanPSMT"/>
          <w:color w:val="FF0000"/>
          <w:sz w:val="24"/>
          <w:szCs w:val="24"/>
        </w:rPr>
        <w:t xml:space="preserve"> State regulation or an executive order so long as the State legislation provides statutory authority to enforce PPACA provisions or the State plan</w:t>
      </w:r>
      <w:r w:rsidRPr="00CD086C">
        <w:rPr>
          <w:rFonts w:ascii="Times New Roman" w:eastAsia="Times New Roman" w:hAnsi="Times New Roman" w:cs="Times New Roman"/>
          <w:sz w:val="24"/>
          <w:szCs w:val="24"/>
        </w:rPr>
        <w:t xml:space="preserve">; </w:t>
      </w:r>
    </w:p>
    <w:p w14:paraId="18712E5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 A copy of the enacted </w:t>
      </w:r>
      <w:hyperlink r:id="rId4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legislation that provides the </w:t>
      </w:r>
      <w:hyperlink r:id="rId49"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with authority to implement the proposed waiver, as required under section 1332(a)(1)(C) of the </w:t>
      </w:r>
      <w:hyperlink r:id="rId50"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t>
      </w:r>
    </w:p>
    <w:p w14:paraId="490A794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(iii) A list of the provisions of law that the </w:t>
      </w:r>
      <w:hyperlink r:id="rId5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seeks to waive including a description of the reason for the specific requests; and </w:t>
      </w:r>
    </w:p>
    <w:p w14:paraId="31DB2D79" w14:textId="68B430E8" w:rsidR="00CD086C" w:rsidRPr="00CD086C" w:rsidRDefault="00CD086C" w:rsidP="009E7861">
      <w:pPr>
        <w:autoSpaceDE w:val="0"/>
        <w:autoSpaceDN w:val="0"/>
        <w:adjustRightInd w:val="0"/>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(iv) The analyses, actuarial certifications, data, assumptions, analysis, targets and other information set forth in </w:t>
      </w:r>
      <w:hyperlink r:id="rId52" w:anchor="f_4" w:history="1">
        <w:r w:rsidRPr="00CD086C">
          <w:rPr>
            <w:rFonts w:ascii="Times New Roman" w:eastAsia="Times New Roman" w:hAnsi="Times New Roman" w:cs="Times New Roman"/>
            <w:color w:val="0000FF"/>
            <w:sz w:val="24"/>
            <w:szCs w:val="24"/>
          </w:rPr>
          <w:t>paragraph (f)(4)</w:t>
        </w:r>
      </w:hyperlink>
      <w:r w:rsidRPr="00CD086C">
        <w:rPr>
          <w:rFonts w:ascii="Times New Roman" w:eastAsia="Times New Roman" w:hAnsi="Times New Roman" w:cs="Times New Roman"/>
          <w:sz w:val="24"/>
          <w:szCs w:val="24"/>
        </w:rPr>
        <w:t xml:space="preserve"> of this section sufficient to provide the Secretary and the Secretary of the Treasury, as applicable, with the necessary data to determine that the </w:t>
      </w:r>
      <w:hyperlink r:id="rId5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's proposed waiver</w:t>
      </w:r>
      <w:r w:rsidR="009E7861" w:rsidRPr="009E7861">
        <w:rPr>
          <w:rFonts w:ascii="Times New Roman" w:eastAsia="Times New Roman" w:hAnsi="Times New Roman" w:cs="Times New Roman"/>
          <w:sz w:val="24"/>
          <w:szCs w:val="24"/>
        </w:rPr>
        <w:t xml:space="preserve"> </w:t>
      </w:r>
      <w:r w:rsidR="009E7861" w:rsidRPr="009E7861">
        <w:rPr>
          <w:rFonts w:ascii="TimesNewRomanPSMT" w:hAnsi="TimesNewRomanPSMT" w:cs="TimesNewRomanPSMT"/>
          <w:color w:val="FF0000"/>
          <w:sz w:val="24"/>
          <w:szCs w:val="24"/>
        </w:rPr>
        <w:t>satisfies the general requirements for approval under section 1332(b)(1) of the Affordable Care Act consistent with the provisions of this paragraph (f)(3)(iv) and interpretive guidance published by the Secretary and the Secretary of the Treasury</w:t>
      </w:r>
      <w:r w:rsidRPr="00CD086C">
        <w:rPr>
          <w:rFonts w:ascii="Times New Roman" w:eastAsia="Times New Roman" w:hAnsi="Times New Roman" w:cs="Times New Roman"/>
          <w:sz w:val="24"/>
          <w:szCs w:val="24"/>
        </w:rPr>
        <w:t xml:space="preserve">: </w:t>
      </w:r>
    </w:p>
    <w:p w14:paraId="406C59E4" w14:textId="37850AD3" w:rsidR="00CD086C" w:rsidRPr="009E7861" w:rsidRDefault="009E7861" w:rsidP="009E7861">
      <w:pPr>
        <w:autoSpaceDE w:val="0"/>
        <w:autoSpaceDN w:val="0"/>
        <w:adjustRightInd w:val="0"/>
        <w:spacing w:after="0" w:line="240" w:lineRule="auto"/>
        <w:rPr>
          <w:rFonts w:ascii="Times New Roman" w:eastAsia="Times New Roman" w:hAnsi="Times New Roman" w:cs="Times New Roman"/>
          <w:sz w:val="24"/>
          <w:szCs w:val="24"/>
        </w:rPr>
      </w:pPr>
      <w:r w:rsidRPr="009E7861">
        <w:rPr>
          <w:rFonts w:ascii="Times New Roman" w:eastAsia="Times New Roman" w:hAnsi="Times New Roman" w:cs="Times New Roman"/>
          <w:sz w:val="24"/>
          <w:szCs w:val="24"/>
        </w:rPr>
        <w:lastRenderedPageBreak/>
        <w:t xml:space="preserve">(A) </w:t>
      </w:r>
      <w:r w:rsidR="00CD086C" w:rsidRPr="009E7861">
        <w:rPr>
          <w:rFonts w:ascii="Times New Roman" w:eastAsia="Times New Roman" w:hAnsi="Times New Roman" w:cs="Times New Roman"/>
          <w:sz w:val="24"/>
          <w:szCs w:val="24"/>
        </w:rPr>
        <w:t xml:space="preserve">As required under section 1332(b)(1)(A) of the </w:t>
      </w:r>
      <w:hyperlink r:id="rId54" w:history="1">
        <w:r w:rsidR="00CD086C" w:rsidRPr="009E7861">
          <w:rPr>
            <w:rFonts w:ascii="Times New Roman" w:eastAsia="Times New Roman" w:hAnsi="Times New Roman" w:cs="Times New Roman"/>
            <w:color w:val="0000FF"/>
            <w:sz w:val="24"/>
            <w:szCs w:val="24"/>
          </w:rPr>
          <w:t>Affordable Care Act</w:t>
        </w:r>
      </w:hyperlink>
      <w:r w:rsidR="00CD086C" w:rsidRPr="009E7861">
        <w:rPr>
          <w:rFonts w:ascii="Times New Roman" w:eastAsia="Times New Roman" w:hAnsi="Times New Roman" w:cs="Times New Roman"/>
          <w:sz w:val="24"/>
          <w:szCs w:val="24"/>
        </w:rPr>
        <w:t xml:space="preserve"> (the comprehensive coverage requirement), will provide coverage that is at least as comprehensive as the coverage defined in section 1302(b) of the </w:t>
      </w:r>
      <w:hyperlink r:id="rId55" w:history="1">
        <w:r w:rsidR="00CD086C" w:rsidRPr="009E7861">
          <w:rPr>
            <w:rFonts w:ascii="Times New Roman" w:eastAsia="Times New Roman" w:hAnsi="Times New Roman" w:cs="Times New Roman"/>
            <w:color w:val="0000FF"/>
            <w:sz w:val="24"/>
            <w:szCs w:val="24"/>
          </w:rPr>
          <w:t>Affordable Care Act</w:t>
        </w:r>
      </w:hyperlink>
      <w:r w:rsidR="00CD086C" w:rsidRPr="009E7861">
        <w:rPr>
          <w:rFonts w:ascii="Times New Roman" w:eastAsia="Times New Roman" w:hAnsi="Times New Roman" w:cs="Times New Roman"/>
          <w:sz w:val="24"/>
          <w:szCs w:val="24"/>
        </w:rPr>
        <w:t xml:space="preserve"> and offered through </w:t>
      </w:r>
      <w:hyperlink r:id="rId56" w:history="1">
        <w:r w:rsidR="00CD086C" w:rsidRPr="009E7861">
          <w:rPr>
            <w:rFonts w:ascii="Times New Roman" w:eastAsia="Times New Roman" w:hAnsi="Times New Roman" w:cs="Times New Roman"/>
            <w:color w:val="0000FF"/>
            <w:sz w:val="24"/>
            <w:szCs w:val="24"/>
          </w:rPr>
          <w:t>Exchanges</w:t>
        </w:r>
      </w:hyperlink>
      <w:r w:rsidR="00CD086C" w:rsidRPr="009E7861">
        <w:rPr>
          <w:rFonts w:ascii="Times New Roman" w:eastAsia="Times New Roman" w:hAnsi="Times New Roman" w:cs="Times New Roman"/>
          <w:sz w:val="24"/>
          <w:szCs w:val="24"/>
        </w:rPr>
        <w:t xml:space="preserve"> established under the </w:t>
      </w:r>
      <w:hyperlink r:id="rId57" w:history="1">
        <w:r w:rsidR="00CD086C" w:rsidRPr="009E7861">
          <w:rPr>
            <w:rFonts w:ascii="Times New Roman" w:eastAsia="Times New Roman" w:hAnsi="Times New Roman" w:cs="Times New Roman"/>
            <w:color w:val="0000FF"/>
            <w:sz w:val="24"/>
            <w:szCs w:val="24"/>
          </w:rPr>
          <w:t>Affordable Care Act</w:t>
        </w:r>
      </w:hyperlink>
      <w:r w:rsidR="00CD086C" w:rsidRPr="009E7861">
        <w:rPr>
          <w:rFonts w:ascii="Times New Roman" w:eastAsia="Times New Roman" w:hAnsi="Times New Roman" w:cs="Times New Roman"/>
          <w:sz w:val="24"/>
          <w:szCs w:val="24"/>
        </w:rPr>
        <w:t xml:space="preserve"> as certified by the Office of the Actuary of the Centers for Medicare &amp; Medicaid Services based on sufficient data from the </w:t>
      </w:r>
      <w:hyperlink r:id="rId58" w:history="1">
        <w:r w:rsidR="00CD086C" w:rsidRPr="009E7861">
          <w:rPr>
            <w:rFonts w:ascii="Times New Roman" w:eastAsia="Times New Roman" w:hAnsi="Times New Roman" w:cs="Times New Roman"/>
            <w:color w:val="0000FF"/>
            <w:sz w:val="24"/>
            <w:szCs w:val="24"/>
          </w:rPr>
          <w:t>State</w:t>
        </w:r>
      </w:hyperlink>
      <w:r w:rsidR="00CD086C" w:rsidRPr="009E7861">
        <w:rPr>
          <w:rFonts w:ascii="Times New Roman" w:eastAsia="Times New Roman" w:hAnsi="Times New Roman" w:cs="Times New Roman"/>
          <w:sz w:val="24"/>
          <w:szCs w:val="24"/>
        </w:rPr>
        <w:t xml:space="preserve"> and from comparable </w:t>
      </w:r>
      <w:hyperlink r:id="rId59" w:history="1">
        <w:r w:rsidR="00CD086C" w:rsidRPr="009E7861">
          <w:rPr>
            <w:rFonts w:ascii="Times New Roman" w:eastAsia="Times New Roman" w:hAnsi="Times New Roman" w:cs="Times New Roman"/>
            <w:color w:val="0000FF"/>
            <w:sz w:val="24"/>
            <w:szCs w:val="24"/>
          </w:rPr>
          <w:t>States</w:t>
        </w:r>
      </w:hyperlink>
      <w:r w:rsidR="00CD086C" w:rsidRPr="009E7861">
        <w:rPr>
          <w:rFonts w:ascii="Times New Roman" w:eastAsia="Times New Roman" w:hAnsi="Times New Roman" w:cs="Times New Roman"/>
          <w:sz w:val="24"/>
          <w:szCs w:val="24"/>
        </w:rPr>
        <w:t xml:space="preserve"> about their experience with </w:t>
      </w:r>
      <w:hyperlink r:id="rId60" w:history="1">
        <w:r w:rsidR="00CD086C" w:rsidRPr="009E7861">
          <w:rPr>
            <w:rFonts w:ascii="Times New Roman" w:eastAsia="Times New Roman" w:hAnsi="Times New Roman" w:cs="Times New Roman"/>
            <w:color w:val="0000FF"/>
            <w:sz w:val="24"/>
            <w:szCs w:val="24"/>
          </w:rPr>
          <w:t>programs</w:t>
        </w:r>
      </w:hyperlink>
      <w:r w:rsidR="00CD086C" w:rsidRPr="009E7861">
        <w:rPr>
          <w:rFonts w:ascii="Times New Roman" w:eastAsia="Times New Roman" w:hAnsi="Times New Roman" w:cs="Times New Roman"/>
          <w:sz w:val="24"/>
          <w:szCs w:val="24"/>
        </w:rPr>
        <w:t xml:space="preserve"> created by the </w:t>
      </w:r>
      <w:hyperlink r:id="rId61" w:history="1">
        <w:r w:rsidR="00CD086C" w:rsidRPr="009E7861">
          <w:rPr>
            <w:rFonts w:ascii="Times New Roman" w:eastAsia="Times New Roman" w:hAnsi="Times New Roman" w:cs="Times New Roman"/>
            <w:color w:val="0000FF"/>
            <w:sz w:val="24"/>
            <w:szCs w:val="24"/>
          </w:rPr>
          <w:t>Affordable Care Act</w:t>
        </w:r>
      </w:hyperlink>
      <w:r w:rsidR="00CD086C" w:rsidRPr="009E7861">
        <w:rPr>
          <w:rFonts w:ascii="Times New Roman" w:eastAsia="Times New Roman" w:hAnsi="Times New Roman" w:cs="Times New Roman"/>
          <w:sz w:val="24"/>
          <w:szCs w:val="24"/>
        </w:rPr>
        <w:t xml:space="preserve"> and the provisions of the </w:t>
      </w:r>
      <w:hyperlink r:id="rId62" w:history="1">
        <w:r w:rsidR="00CD086C" w:rsidRPr="009E7861">
          <w:rPr>
            <w:rFonts w:ascii="Times New Roman" w:eastAsia="Times New Roman" w:hAnsi="Times New Roman" w:cs="Times New Roman"/>
            <w:color w:val="0000FF"/>
            <w:sz w:val="24"/>
            <w:szCs w:val="24"/>
          </w:rPr>
          <w:t>Affordable Care Act</w:t>
        </w:r>
      </w:hyperlink>
      <w:r w:rsidR="00CD086C" w:rsidRPr="009E7861">
        <w:rPr>
          <w:rFonts w:ascii="Times New Roman" w:eastAsia="Times New Roman" w:hAnsi="Times New Roman" w:cs="Times New Roman"/>
          <w:sz w:val="24"/>
          <w:szCs w:val="24"/>
        </w:rPr>
        <w:t xml:space="preserve"> that the </w:t>
      </w:r>
      <w:hyperlink r:id="rId63" w:history="1">
        <w:r w:rsidR="00CD086C" w:rsidRPr="009E7861">
          <w:rPr>
            <w:rFonts w:ascii="Times New Roman" w:eastAsia="Times New Roman" w:hAnsi="Times New Roman" w:cs="Times New Roman"/>
            <w:color w:val="0000FF"/>
            <w:sz w:val="24"/>
            <w:szCs w:val="24"/>
          </w:rPr>
          <w:t>State</w:t>
        </w:r>
      </w:hyperlink>
      <w:r w:rsidR="00CD086C" w:rsidRPr="009E7861">
        <w:rPr>
          <w:rFonts w:ascii="Times New Roman" w:eastAsia="Times New Roman" w:hAnsi="Times New Roman" w:cs="Times New Roman"/>
          <w:sz w:val="24"/>
          <w:szCs w:val="24"/>
        </w:rPr>
        <w:t xml:space="preserve"> seeks to waive</w:t>
      </w:r>
      <w:r w:rsidRPr="009E7861">
        <w:rPr>
          <w:rFonts w:ascii="Times New Roman" w:eastAsia="Times New Roman" w:hAnsi="Times New Roman" w:cs="Times New Roman"/>
          <w:sz w:val="24"/>
          <w:szCs w:val="24"/>
        </w:rPr>
        <w:t xml:space="preserve">.  </w:t>
      </w:r>
      <w:r w:rsidRPr="009E7861">
        <w:rPr>
          <w:rFonts w:ascii="TimesNewRomanPSMT" w:hAnsi="TimesNewRomanPSMT" w:cs="TimesNewRomanPSMT"/>
          <w:color w:val="FF0000"/>
          <w:sz w:val="24"/>
          <w:szCs w:val="24"/>
        </w:rPr>
        <w:t xml:space="preserve">To satisfy the comprehensive coverage requirement, the </w:t>
      </w:r>
      <w:proofErr w:type="gramStart"/>
      <w:r w:rsidRPr="009E7861">
        <w:rPr>
          <w:rFonts w:ascii="TimesNewRomanPSMT" w:hAnsi="TimesNewRomanPSMT" w:cs="TimesNewRomanPSMT"/>
          <w:color w:val="FF0000"/>
          <w:sz w:val="24"/>
          <w:szCs w:val="24"/>
        </w:rPr>
        <w:t>Secretary</w:t>
      </w:r>
      <w:proofErr w:type="gramEnd"/>
      <w:r w:rsidRPr="009E7861">
        <w:rPr>
          <w:rFonts w:ascii="TimesNewRomanPSMT" w:hAnsi="TimesNewRomanPSMT" w:cs="TimesNewRomanPSMT"/>
          <w:color w:val="FF0000"/>
          <w:sz w:val="24"/>
          <w:szCs w:val="24"/>
        </w:rPr>
        <w:t xml:space="preserve"> and the Secretary of the Treasury, as applicable, must determine that the State plan will provide consumers access to coverage options that are at least as comprehensive as the coverage options provided without the waiver, to at least a comparable number of people as would have had access to such coverage absent the waiver.  These coverage options must also satisfy the affordability requirement in paragraph (f)(3)(iv)(B) of this </w:t>
      </w:r>
      <w:proofErr w:type="gramStart"/>
      <w:r w:rsidRPr="009E7861">
        <w:rPr>
          <w:rFonts w:ascii="TimesNewRomanPSMT" w:hAnsi="TimesNewRomanPSMT" w:cs="TimesNewRomanPSMT"/>
          <w:color w:val="FF0000"/>
          <w:sz w:val="24"/>
          <w:szCs w:val="24"/>
        </w:rPr>
        <w:t>section</w:t>
      </w:r>
      <w:r w:rsidR="00CD086C" w:rsidRPr="009E7861">
        <w:rPr>
          <w:rFonts w:ascii="Times New Roman" w:eastAsia="Times New Roman" w:hAnsi="Times New Roman" w:cs="Times New Roman"/>
          <w:sz w:val="24"/>
          <w:szCs w:val="24"/>
        </w:rPr>
        <w:t>;</w:t>
      </w:r>
      <w:proofErr w:type="gramEnd"/>
      <w:r w:rsidR="00CD086C" w:rsidRPr="009E7861">
        <w:rPr>
          <w:rFonts w:ascii="Times New Roman" w:eastAsia="Times New Roman" w:hAnsi="Times New Roman" w:cs="Times New Roman"/>
          <w:sz w:val="24"/>
          <w:szCs w:val="24"/>
        </w:rPr>
        <w:t xml:space="preserve"> </w:t>
      </w:r>
    </w:p>
    <w:p w14:paraId="606E6BA8" w14:textId="77777777" w:rsidR="009E7861" w:rsidRPr="009E7861" w:rsidRDefault="009E7861" w:rsidP="009E7861"/>
    <w:p w14:paraId="17C15EFD" w14:textId="1797C163" w:rsidR="00CD086C" w:rsidRPr="009E7861" w:rsidRDefault="00CD086C" w:rsidP="009E7861">
      <w:pPr>
        <w:autoSpaceDE w:val="0"/>
        <w:autoSpaceDN w:val="0"/>
        <w:adjustRightInd w:val="0"/>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As required under section 1332(b)(1)(B) of the </w:t>
      </w:r>
      <w:hyperlink r:id="rId64"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(the affordability requirement), will provide coverage and </w:t>
      </w:r>
      <w:hyperlink r:id="rId65" w:history="1">
        <w:r w:rsidRPr="00CD086C">
          <w:rPr>
            <w:rFonts w:ascii="Times New Roman" w:eastAsia="Times New Roman" w:hAnsi="Times New Roman" w:cs="Times New Roman"/>
            <w:color w:val="0000FF"/>
            <w:sz w:val="24"/>
            <w:szCs w:val="24"/>
          </w:rPr>
          <w:t>cost sharing</w:t>
        </w:r>
      </w:hyperlink>
      <w:r w:rsidRPr="00CD086C">
        <w:rPr>
          <w:rFonts w:ascii="Times New Roman" w:eastAsia="Times New Roman" w:hAnsi="Times New Roman" w:cs="Times New Roman"/>
          <w:sz w:val="24"/>
          <w:szCs w:val="24"/>
        </w:rPr>
        <w:t xml:space="preserve"> protections against excessive out-of-pocket spending that are at least as affordable as the provisions of Title I of the </w:t>
      </w:r>
      <w:hyperlink r:id="rId66"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would provide</w:t>
      </w:r>
      <w:r w:rsidR="009E7861" w:rsidRPr="009E7861">
        <w:rPr>
          <w:rFonts w:ascii="Times New Roman" w:eastAsia="Times New Roman" w:hAnsi="Times New Roman" w:cs="Times New Roman"/>
          <w:sz w:val="24"/>
          <w:szCs w:val="24"/>
        </w:rPr>
        <w:t xml:space="preserve">.  </w:t>
      </w:r>
      <w:r w:rsidR="009E7861" w:rsidRPr="009E7861">
        <w:rPr>
          <w:rFonts w:ascii="TimesNewRomanPSMT" w:hAnsi="TimesNewRomanPSMT" w:cs="TimesNewRomanPSMT"/>
          <w:color w:val="FF0000"/>
          <w:sz w:val="24"/>
          <w:szCs w:val="24"/>
        </w:rPr>
        <w:t xml:space="preserve">To satisfy the affordability requirement, the </w:t>
      </w:r>
      <w:proofErr w:type="gramStart"/>
      <w:r w:rsidR="009E7861" w:rsidRPr="009E7861">
        <w:rPr>
          <w:rFonts w:ascii="TimesNewRomanPSMT" w:hAnsi="TimesNewRomanPSMT" w:cs="TimesNewRomanPSMT"/>
          <w:color w:val="FF0000"/>
          <w:sz w:val="24"/>
          <w:szCs w:val="24"/>
        </w:rPr>
        <w:t>Secretary</w:t>
      </w:r>
      <w:proofErr w:type="gramEnd"/>
      <w:r w:rsidR="009E7861" w:rsidRPr="009E7861">
        <w:rPr>
          <w:rFonts w:ascii="TimesNewRomanPSMT" w:hAnsi="TimesNewRomanPSMT" w:cs="TimesNewRomanPSMT"/>
          <w:color w:val="FF0000"/>
          <w:sz w:val="24"/>
          <w:szCs w:val="24"/>
        </w:rPr>
        <w:t xml:space="preserve"> and the Secretary of the Treasury, as applicable, must determine that the State plan will provide consumers access to coverage options that are at least as affordable as the coverage options provided without the waiver, to at least a comparable number of people as would have had access to such coverage absent the waiver. These coverage options must also satisfy the comprehensive coverage requirement in paragraph (f)(3)(iv)(A) of this </w:t>
      </w:r>
      <w:proofErr w:type="gramStart"/>
      <w:r w:rsidR="009E7861" w:rsidRPr="009E7861">
        <w:rPr>
          <w:rFonts w:ascii="TimesNewRomanPSMT" w:hAnsi="TimesNewRomanPSMT" w:cs="TimesNewRomanPSMT"/>
          <w:color w:val="FF0000"/>
          <w:sz w:val="24"/>
          <w:szCs w:val="24"/>
        </w:rPr>
        <w:t>section</w:t>
      </w:r>
      <w:r w:rsidRPr="00CD086C">
        <w:rPr>
          <w:rFonts w:ascii="Times New Roman" w:eastAsia="Times New Roman" w:hAnsi="Times New Roman" w:cs="Times New Roman"/>
          <w:sz w:val="24"/>
          <w:szCs w:val="24"/>
        </w:rPr>
        <w:t>;</w:t>
      </w:r>
      <w:proofErr w:type="gramEnd"/>
      <w:r w:rsidRPr="00CD086C">
        <w:rPr>
          <w:rFonts w:ascii="Times New Roman" w:eastAsia="Times New Roman" w:hAnsi="Times New Roman" w:cs="Times New Roman"/>
          <w:sz w:val="24"/>
          <w:szCs w:val="24"/>
        </w:rPr>
        <w:t xml:space="preserve"> </w:t>
      </w:r>
    </w:p>
    <w:p w14:paraId="33E29E80" w14:textId="77777777" w:rsidR="009E7861" w:rsidRPr="00CD086C" w:rsidRDefault="009E7861" w:rsidP="009E7861">
      <w:pPr>
        <w:autoSpaceDE w:val="0"/>
        <w:autoSpaceDN w:val="0"/>
        <w:adjustRightInd w:val="0"/>
        <w:spacing w:after="0" w:line="240" w:lineRule="auto"/>
        <w:rPr>
          <w:rFonts w:ascii="Times New Roman" w:eastAsia="Times New Roman" w:hAnsi="Times New Roman" w:cs="Times New Roman"/>
          <w:sz w:val="24"/>
          <w:szCs w:val="24"/>
        </w:rPr>
      </w:pPr>
    </w:p>
    <w:p w14:paraId="7065DD9C" w14:textId="0A6F05A7" w:rsidR="00CD086C" w:rsidRPr="00CD086C" w:rsidRDefault="00CD086C" w:rsidP="009E7861">
      <w:pPr>
        <w:autoSpaceDE w:val="0"/>
        <w:autoSpaceDN w:val="0"/>
        <w:adjustRightInd w:val="0"/>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As required under section 1332(b)(1)(C) of the </w:t>
      </w:r>
      <w:hyperlink r:id="rId67"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(the scope of coverage requirement), will provide coverage to at least a comparable number of its residents as the provisions of Title I of the </w:t>
      </w:r>
      <w:hyperlink r:id="rId68"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would provide</w:t>
      </w:r>
      <w:r w:rsidR="009E7861" w:rsidRPr="009E7861">
        <w:rPr>
          <w:rFonts w:ascii="Times New Roman" w:eastAsia="Times New Roman" w:hAnsi="Times New Roman" w:cs="Times New Roman"/>
          <w:sz w:val="24"/>
          <w:szCs w:val="24"/>
        </w:rPr>
        <w:t xml:space="preserve">.  </w:t>
      </w:r>
      <w:r w:rsidR="009E7861" w:rsidRPr="009E7861">
        <w:rPr>
          <w:rFonts w:ascii="TimesNewRomanPSMT" w:hAnsi="TimesNewRomanPSMT" w:cs="TimesNewRomanPSMT"/>
          <w:color w:val="FF0000"/>
          <w:sz w:val="24"/>
          <w:szCs w:val="24"/>
        </w:rPr>
        <w:t>Coverage refers to minimum essential coverage as defined in 26 U.S.C. 5000A(f) and 26 CFR 1.5000A-2, and health insurance coverage as defined in 45 CFR 144.103</w:t>
      </w:r>
      <w:r w:rsidRPr="00CD086C">
        <w:rPr>
          <w:rFonts w:ascii="Times New Roman" w:eastAsia="Times New Roman" w:hAnsi="Times New Roman" w:cs="Times New Roman"/>
          <w:sz w:val="24"/>
          <w:szCs w:val="24"/>
        </w:rPr>
        <w:t xml:space="preserve">; and </w:t>
      </w:r>
    </w:p>
    <w:p w14:paraId="0EF39160" w14:textId="60389CFA"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(D) As prohibited under section 1332(b)(1)(D) of the </w:t>
      </w:r>
      <w:hyperlink r:id="rId69"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(the Federal deficit requirement), will not increase the Federal deficit. </w:t>
      </w:r>
    </w:p>
    <w:p w14:paraId="311CD25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(4) Contains the following supporting information: </w:t>
      </w:r>
    </w:p>
    <w:p w14:paraId="39BE0B81"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 Actuarial analyses and actuarial certifications. Actuarial analyses and actuarial certifications to support the </w:t>
      </w:r>
      <w:hyperlink r:id="rId7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estimates that the proposed waiver will comply with the comprehensive coverage requirement, the affordability requirement, and the scope of coverage requirement; </w:t>
      </w:r>
    </w:p>
    <w:p w14:paraId="4ACC1AA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 Economic analyses. Economic analyses to support the </w:t>
      </w:r>
      <w:hyperlink r:id="rId7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estimates that the proposed waiver will comply with the comprehensive coverage requirement, the affordability requirement, the scope of coverage requirement and the Federal deficit requirement, including: </w:t>
      </w:r>
    </w:p>
    <w:p w14:paraId="132804E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A detailed 10-year budget </w:t>
      </w:r>
      <w:hyperlink r:id="rId72" w:history="1">
        <w:r w:rsidRPr="00CD086C">
          <w:rPr>
            <w:rFonts w:ascii="Times New Roman" w:eastAsia="Times New Roman" w:hAnsi="Times New Roman" w:cs="Times New Roman"/>
            <w:color w:val="0000FF"/>
            <w:sz w:val="24"/>
            <w:szCs w:val="24"/>
          </w:rPr>
          <w:t>plan</w:t>
        </w:r>
      </w:hyperlink>
      <w:r w:rsidRPr="00CD086C">
        <w:rPr>
          <w:rFonts w:ascii="Times New Roman" w:eastAsia="Times New Roman" w:hAnsi="Times New Roman" w:cs="Times New Roman"/>
          <w:sz w:val="24"/>
          <w:szCs w:val="24"/>
        </w:rPr>
        <w:t xml:space="preserve"> that is deficit neutral to the Federal government, as prescribed by section 1332(a)(1)(B)(ii) of the </w:t>
      </w:r>
      <w:hyperlink r:id="rId73"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and includes all costs under </w:t>
      </w:r>
      <w:r w:rsidRPr="00CD086C">
        <w:rPr>
          <w:rFonts w:ascii="Times New Roman" w:eastAsia="Times New Roman" w:hAnsi="Times New Roman" w:cs="Times New Roman"/>
          <w:sz w:val="24"/>
          <w:szCs w:val="24"/>
        </w:rPr>
        <w:lastRenderedPageBreak/>
        <w:t xml:space="preserve">the waiver, including administrative costs and other costs to the Federal government, if applicable; and </w:t>
      </w:r>
    </w:p>
    <w:p w14:paraId="015142F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 detailed analysis regarding the estimated impact of the waiver on </w:t>
      </w:r>
      <w:hyperlink r:id="rId74" w:history="1">
        <w:r w:rsidRPr="00CD086C">
          <w:rPr>
            <w:rFonts w:ascii="Times New Roman" w:eastAsia="Times New Roman" w:hAnsi="Times New Roman" w:cs="Times New Roman"/>
            <w:color w:val="0000FF"/>
            <w:sz w:val="24"/>
            <w:szCs w:val="24"/>
          </w:rPr>
          <w:t>health insurance coverage</w:t>
        </w:r>
      </w:hyperlink>
      <w:r w:rsidRPr="00CD086C">
        <w:rPr>
          <w:rFonts w:ascii="Times New Roman" w:eastAsia="Times New Roman" w:hAnsi="Times New Roman" w:cs="Times New Roman"/>
          <w:sz w:val="24"/>
          <w:szCs w:val="24"/>
        </w:rPr>
        <w:t xml:space="preserve"> in the </w:t>
      </w:r>
      <w:hyperlink r:id="rId7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t>
      </w:r>
    </w:p>
    <w:p w14:paraId="25832C9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(iii) Data and assumptions. The data and assumptions used to demonstrate that the </w:t>
      </w:r>
      <w:hyperlink r:id="rId7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proposed waiver is in compliance with the comprehensive coverage requirement, the affordability requirement, the scope of coverage requirement and the Federal deficit requirement, including: </w:t>
      </w:r>
    </w:p>
    <w:p w14:paraId="34535AE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Information on the age, </w:t>
      </w:r>
      <w:hyperlink r:id="rId77" w:history="1">
        <w:r w:rsidRPr="00CD086C">
          <w:rPr>
            <w:rFonts w:ascii="Times New Roman" w:eastAsia="Times New Roman" w:hAnsi="Times New Roman" w:cs="Times New Roman"/>
            <w:color w:val="0000FF"/>
            <w:sz w:val="24"/>
            <w:szCs w:val="24"/>
          </w:rPr>
          <w:t>income</w:t>
        </w:r>
      </w:hyperlink>
      <w:r w:rsidRPr="00CD086C">
        <w:rPr>
          <w:rFonts w:ascii="Times New Roman" w:eastAsia="Times New Roman" w:hAnsi="Times New Roman" w:cs="Times New Roman"/>
          <w:sz w:val="24"/>
          <w:szCs w:val="24"/>
        </w:rPr>
        <w:t xml:space="preserve">, health expenses and current health insurance status of the relevant </w:t>
      </w:r>
      <w:hyperlink r:id="rId7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population; the number of </w:t>
      </w:r>
      <w:hyperlink r:id="rId79" w:history="1">
        <w:r w:rsidRPr="00CD086C">
          <w:rPr>
            <w:rFonts w:ascii="Times New Roman" w:eastAsia="Times New Roman" w:hAnsi="Times New Roman" w:cs="Times New Roman"/>
            <w:color w:val="0000FF"/>
            <w:sz w:val="24"/>
            <w:szCs w:val="24"/>
          </w:rPr>
          <w:t>employers</w:t>
        </w:r>
      </w:hyperlink>
      <w:r w:rsidRPr="00CD086C">
        <w:rPr>
          <w:rFonts w:ascii="Times New Roman" w:eastAsia="Times New Roman" w:hAnsi="Times New Roman" w:cs="Times New Roman"/>
          <w:sz w:val="24"/>
          <w:szCs w:val="24"/>
        </w:rPr>
        <w:t xml:space="preserve"> by number of employees and whether the </w:t>
      </w:r>
      <w:hyperlink r:id="rId80" w:history="1">
        <w:r w:rsidRPr="00CD086C">
          <w:rPr>
            <w:rFonts w:ascii="Times New Roman" w:eastAsia="Times New Roman" w:hAnsi="Times New Roman" w:cs="Times New Roman"/>
            <w:color w:val="0000FF"/>
            <w:sz w:val="24"/>
            <w:szCs w:val="24"/>
          </w:rPr>
          <w:t>employer</w:t>
        </w:r>
      </w:hyperlink>
      <w:r w:rsidRPr="00CD086C">
        <w:rPr>
          <w:rFonts w:ascii="Times New Roman" w:eastAsia="Times New Roman" w:hAnsi="Times New Roman" w:cs="Times New Roman"/>
          <w:sz w:val="24"/>
          <w:szCs w:val="24"/>
        </w:rPr>
        <w:t xml:space="preserve"> offers insurance; cross-tabulations of these variables; and an explanation of data sources and quality; and </w:t>
      </w:r>
    </w:p>
    <w:p w14:paraId="7CD41DE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An explanation of the key assumptions used to develop the estimates of the effect of the waiver on coverage and the Federal budget, such as individual and </w:t>
      </w:r>
      <w:hyperlink r:id="rId81" w:history="1">
        <w:r w:rsidRPr="00CD086C">
          <w:rPr>
            <w:rFonts w:ascii="Times New Roman" w:eastAsia="Times New Roman" w:hAnsi="Times New Roman" w:cs="Times New Roman"/>
            <w:color w:val="0000FF"/>
            <w:sz w:val="24"/>
            <w:szCs w:val="24"/>
          </w:rPr>
          <w:t>employer</w:t>
        </w:r>
      </w:hyperlink>
      <w:r w:rsidRPr="00CD086C">
        <w:rPr>
          <w:rFonts w:ascii="Times New Roman" w:eastAsia="Times New Roman" w:hAnsi="Times New Roman" w:cs="Times New Roman"/>
          <w:sz w:val="24"/>
          <w:szCs w:val="24"/>
        </w:rPr>
        <w:t xml:space="preserve"> participation rates, behavioral changes, premium and price effects, and other relevant factors. </w:t>
      </w:r>
    </w:p>
    <w:p w14:paraId="708C53B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(iv) Implementation timeline. A detailed draft timeline for the </w:t>
      </w:r>
      <w:hyperlink r:id="rId82"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implementation of the proposed waiver. </w:t>
      </w:r>
    </w:p>
    <w:p w14:paraId="5275650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(v) Additional information. Additional information supporting the </w:t>
      </w:r>
      <w:hyperlink r:id="rId8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proposed waiver, including: </w:t>
      </w:r>
    </w:p>
    <w:p w14:paraId="7CB1C8F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An explanation as to whether the waiver increases or decreases the administrative burden on individuals, insurers, and employers, and if so, how and </w:t>
      </w:r>
      <w:proofErr w:type="gramStart"/>
      <w:r w:rsidRPr="00CD086C">
        <w:rPr>
          <w:rFonts w:ascii="Times New Roman" w:eastAsia="Times New Roman" w:hAnsi="Times New Roman" w:cs="Times New Roman"/>
          <w:sz w:val="24"/>
          <w:szCs w:val="24"/>
        </w:rPr>
        <w:t>why;</w:t>
      </w:r>
      <w:proofErr w:type="gramEnd"/>
      <w:r w:rsidRPr="00CD086C">
        <w:rPr>
          <w:rFonts w:ascii="Times New Roman" w:eastAsia="Times New Roman" w:hAnsi="Times New Roman" w:cs="Times New Roman"/>
          <w:sz w:val="24"/>
          <w:szCs w:val="24"/>
        </w:rPr>
        <w:t xml:space="preserve"> </w:t>
      </w:r>
    </w:p>
    <w:p w14:paraId="4B7846A9"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An explanation of how the waiver will affect the implementation of the provisions of the </w:t>
      </w:r>
      <w:hyperlink r:id="rId84"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which the </w:t>
      </w:r>
      <w:hyperlink r:id="rId8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is not requesting to waive in the </w:t>
      </w:r>
      <w:hyperlink r:id="rId8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and at the Federal level; </w:t>
      </w:r>
    </w:p>
    <w:p w14:paraId="603B967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An explanation of how the waiver will affect residents who need to obtain health care services out-of-State, as well as the States in which such residents may seek such </w:t>
      </w:r>
      <w:proofErr w:type="gramStart"/>
      <w:r w:rsidRPr="00CD086C">
        <w:rPr>
          <w:rFonts w:ascii="Times New Roman" w:eastAsia="Times New Roman" w:hAnsi="Times New Roman" w:cs="Times New Roman"/>
          <w:sz w:val="24"/>
          <w:szCs w:val="24"/>
        </w:rPr>
        <w:t>services;</w:t>
      </w:r>
      <w:proofErr w:type="gramEnd"/>
      <w:r w:rsidRPr="00CD086C">
        <w:rPr>
          <w:rFonts w:ascii="Times New Roman" w:eastAsia="Times New Roman" w:hAnsi="Times New Roman" w:cs="Times New Roman"/>
          <w:sz w:val="24"/>
          <w:szCs w:val="24"/>
        </w:rPr>
        <w:t xml:space="preserve"> </w:t>
      </w:r>
    </w:p>
    <w:p w14:paraId="690726B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(D) If applicable, an explanation as to how the </w:t>
      </w:r>
      <w:hyperlink r:id="rId8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will provide the Federal government with all information necessary to administer the waiver at the Federal level; and </w:t>
      </w:r>
    </w:p>
    <w:p w14:paraId="526641F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(E) An explanation of how the </w:t>
      </w:r>
      <w:hyperlink r:id="rId8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proposal will address potential individual, </w:t>
      </w:r>
      <w:hyperlink r:id="rId89" w:history="1">
        <w:r w:rsidRPr="00CD086C">
          <w:rPr>
            <w:rFonts w:ascii="Times New Roman" w:eastAsia="Times New Roman" w:hAnsi="Times New Roman" w:cs="Times New Roman"/>
            <w:color w:val="0000FF"/>
            <w:sz w:val="24"/>
            <w:szCs w:val="24"/>
          </w:rPr>
          <w:t>employer</w:t>
        </w:r>
      </w:hyperlink>
      <w:r w:rsidRPr="00CD086C">
        <w:rPr>
          <w:rFonts w:ascii="Times New Roman" w:eastAsia="Times New Roman" w:hAnsi="Times New Roman" w:cs="Times New Roman"/>
          <w:sz w:val="24"/>
          <w:szCs w:val="24"/>
        </w:rPr>
        <w:t xml:space="preserve">, insurer, or provider compliance, waste, fraud and abuse within the </w:t>
      </w:r>
      <w:hyperlink r:id="rId9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or in other States. </w:t>
      </w:r>
    </w:p>
    <w:p w14:paraId="37FE16C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(vi) Reporting targets. Quarterly, annual, and cumulative targets for the comprehensive coverage requirement, the affordability requirement, the scope of coverage requirement and the Federal deficit requirement. </w:t>
      </w:r>
    </w:p>
    <w:p w14:paraId="29BD5711"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lastRenderedPageBreak/>
        <w:t xml:space="preserve">(vii) Other information. Other information consistent with guidance provided by the Secretary and the Secretary of the Treasury, as applicable. </w:t>
      </w:r>
    </w:p>
    <w:p w14:paraId="5FC2018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(g) Additional supporting information. </w:t>
      </w:r>
    </w:p>
    <w:p w14:paraId="30C1E739"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During the Federal review process, the Secretary may request additional supporting information from the </w:t>
      </w:r>
      <w:hyperlink r:id="rId9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as needed to address public comments or to address issues that arise in reviewing the application. </w:t>
      </w:r>
    </w:p>
    <w:p w14:paraId="19D0324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Requests for additional information, and responses to such requests, will be made available to the public in the same manner as information described in </w:t>
      </w:r>
      <w:hyperlink r:id="rId92" w:anchor="b" w:history="1">
        <w:r w:rsidRPr="00CD086C">
          <w:rPr>
            <w:rFonts w:ascii="Times New Roman" w:eastAsia="Times New Roman" w:hAnsi="Times New Roman" w:cs="Times New Roman"/>
            <w:color w:val="0000FF"/>
            <w:sz w:val="24"/>
            <w:szCs w:val="24"/>
          </w:rPr>
          <w:t>§ 155.1316(b)</w:t>
        </w:r>
      </w:hyperlink>
      <w:r w:rsidRPr="00CD086C">
        <w:rPr>
          <w:rFonts w:ascii="Times New Roman" w:eastAsia="Times New Roman" w:hAnsi="Times New Roman" w:cs="Times New Roman"/>
          <w:sz w:val="24"/>
          <w:szCs w:val="24"/>
        </w:rPr>
        <w:t xml:space="preserve">. </w:t>
      </w:r>
    </w:p>
    <w:p w14:paraId="580763D7"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 155.1312 </w:t>
      </w:r>
      <w:hyperlink r:id="rId9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t>
      </w:r>
      <w:hyperlink r:id="rId94"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requirements.</w:t>
      </w:r>
    </w:p>
    <w:p w14:paraId="2E8E150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General. </w:t>
      </w:r>
    </w:p>
    <w:p w14:paraId="1BC8C8C4"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Prior to submitting an application for a new section 1332 waiver to the Secretary for review and consideration, a </w:t>
      </w:r>
      <w:hyperlink r:id="rId9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provide a </w:t>
      </w:r>
      <w:hyperlink r:id="rId96"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sufficient to ensure a meaningful level of public input for the application for a section 1332 waiver. </w:t>
      </w:r>
    </w:p>
    <w:p w14:paraId="00CAD54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Such </w:t>
      </w:r>
      <w:hyperlink r:id="rId97"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shall include, for a </w:t>
      </w:r>
      <w:hyperlink r:id="rId9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with one or more Federally-recognized </w:t>
      </w:r>
      <w:hyperlink r:id="rId99" w:history="1">
        <w:r w:rsidRPr="00CD086C">
          <w:rPr>
            <w:rFonts w:ascii="Times New Roman" w:eastAsia="Times New Roman" w:hAnsi="Times New Roman" w:cs="Times New Roman"/>
            <w:color w:val="0000FF"/>
            <w:sz w:val="24"/>
            <w:szCs w:val="24"/>
          </w:rPr>
          <w:t>Indian tribes</w:t>
        </w:r>
      </w:hyperlink>
      <w:r w:rsidRPr="00CD086C">
        <w:rPr>
          <w:rFonts w:ascii="Times New Roman" w:eastAsia="Times New Roman" w:hAnsi="Times New Roman" w:cs="Times New Roman"/>
          <w:sz w:val="24"/>
          <w:szCs w:val="24"/>
        </w:rPr>
        <w:t xml:space="preserve"> within its borders, a separate process for meaningful consultation with such tribes. </w:t>
      </w:r>
    </w:p>
    <w:p w14:paraId="0064E8F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Public notice and comment period. The </w:t>
      </w:r>
      <w:hyperlink r:id="rId10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shall make available at the beginning of the </w:t>
      </w:r>
      <w:hyperlink r:id="rId101"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through its Web site or other effective means of communication, and shall update as appropriate, a </w:t>
      </w:r>
      <w:hyperlink r:id="rId102"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that includes all of the following: </w:t>
      </w:r>
    </w:p>
    <w:p w14:paraId="3A4A6CA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A comprehensive description of the application for a section 1332 waiver to be submitted to the Secretary including information and assurances related to all statutory requirements and other information consistent with guidance provided by the Secretary and the Secretary of the Treasury, as applicable. </w:t>
      </w:r>
    </w:p>
    <w:p w14:paraId="5438147B"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Information relating to where copies of the application for a section 1332 waiver are available for public review and comment. </w:t>
      </w:r>
    </w:p>
    <w:p w14:paraId="067688C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Information relating to how and where written comments may be submitted and reviewed by the public, and the timeframe during which comments will be accepted. </w:t>
      </w:r>
    </w:p>
    <w:p w14:paraId="0C6A08D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(4) The location, date, and time of public hearings that will be convened by the </w:t>
      </w:r>
      <w:hyperlink r:id="rId10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to seek public input on the application for a section 1332 waiver. </w:t>
      </w:r>
    </w:p>
    <w:p w14:paraId="5AE1218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Public hearings. </w:t>
      </w:r>
    </w:p>
    <w:p w14:paraId="09D1001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lastRenderedPageBreak/>
        <w:t xml:space="preserve">(1) After issuing the </w:t>
      </w:r>
      <w:hyperlink r:id="rId104"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prior to submitting an application for a new section 1332 waiver, a </w:t>
      </w:r>
      <w:hyperlink r:id="rId10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conduct public hearings regarding the </w:t>
      </w:r>
      <w:hyperlink r:id="rId10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application. </w:t>
      </w:r>
    </w:p>
    <w:p w14:paraId="31FCE1A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Such public hearings shall provide an interested party the opportunity to learn about and comment on the contents of the application for a section 1332 waiver. </w:t>
      </w:r>
    </w:p>
    <w:p w14:paraId="4D6963B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(d) Submission of initial application. After the </w:t>
      </w:r>
      <w:hyperlink r:id="rId10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t>
      </w:r>
      <w:hyperlink r:id="rId108"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has concluded, the </w:t>
      </w:r>
      <w:hyperlink r:id="rId109"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may submit an application to the Secretary for an initial waiver in accordance with the requirements set forth in </w:t>
      </w:r>
      <w:hyperlink r:id="rId110" w:history="1">
        <w:r w:rsidRPr="00CD086C">
          <w:rPr>
            <w:rFonts w:ascii="Times New Roman" w:eastAsia="Times New Roman" w:hAnsi="Times New Roman" w:cs="Times New Roman"/>
            <w:color w:val="0000FF"/>
            <w:sz w:val="24"/>
            <w:szCs w:val="24"/>
          </w:rPr>
          <w:t>§ 155.1308</w:t>
        </w:r>
      </w:hyperlink>
      <w:r w:rsidRPr="00CD086C">
        <w:rPr>
          <w:rFonts w:ascii="Times New Roman" w:eastAsia="Times New Roman" w:hAnsi="Times New Roman" w:cs="Times New Roman"/>
          <w:sz w:val="24"/>
          <w:szCs w:val="24"/>
        </w:rPr>
        <w:t xml:space="preserve">. </w:t>
      </w:r>
    </w:p>
    <w:p w14:paraId="59C86586"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 155.1316 Federal </w:t>
      </w:r>
      <w:hyperlink r:id="rId111"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approval process.</w:t>
      </w:r>
    </w:p>
    <w:p w14:paraId="77EB9C1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General. The Federal </w:t>
      </w:r>
      <w:hyperlink r:id="rId112"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approval process begins on the first business day after the Secretary and the Secretary of the Treasury, as applicable, determine that all elements for a </w:t>
      </w:r>
      <w:hyperlink r:id="rId113" w:history="1">
        <w:r w:rsidRPr="00CD086C">
          <w:rPr>
            <w:rFonts w:ascii="Times New Roman" w:eastAsia="Times New Roman" w:hAnsi="Times New Roman" w:cs="Times New Roman"/>
            <w:color w:val="0000FF"/>
            <w:sz w:val="24"/>
            <w:szCs w:val="24"/>
          </w:rPr>
          <w:t>complete application</w:t>
        </w:r>
      </w:hyperlink>
      <w:r w:rsidRPr="00CD086C">
        <w:rPr>
          <w:rFonts w:ascii="Times New Roman" w:eastAsia="Times New Roman" w:hAnsi="Times New Roman" w:cs="Times New Roman"/>
          <w:sz w:val="24"/>
          <w:szCs w:val="24"/>
        </w:rPr>
        <w:t xml:space="preserve"> were documented and submitted to the Secretary. </w:t>
      </w:r>
    </w:p>
    <w:p w14:paraId="24CF48F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Public notice and comment period. </w:t>
      </w:r>
    </w:p>
    <w:p w14:paraId="3F2DF654"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Following a determination that a </w:t>
      </w:r>
      <w:hyperlink r:id="rId114"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application for a section 1332 waiver is complete, the Secretary and the Secretary of the Treasury, as applicable, will provide for a </w:t>
      </w:r>
      <w:hyperlink r:id="rId115"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that is sufficient to ensure a meaningful level of public input and that does not impose requirements that are in addition to, or duplicative of, requirements imposed under the Administrative Procedures Act, or requirements that are unreasonable or unnecessarily burdensome with respect to </w:t>
      </w:r>
      <w:hyperlink r:id="rId11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compliance. </w:t>
      </w:r>
    </w:p>
    <w:p w14:paraId="614FD7D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At the beginning of the Federal notice and comment period, the Secretary will make available through its Web site and otherwise, and shall update as appropriate, </w:t>
      </w:r>
      <w:hyperlink r:id="rId117"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that includes all of the following: </w:t>
      </w:r>
    </w:p>
    <w:p w14:paraId="4F195A4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 The </w:t>
      </w:r>
      <w:hyperlink r:id="rId118" w:history="1">
        <w:r w:rsidRPr="00CD086C">
          <w:rPr>
            <w:rFonts w:ascii="Times New Roman" w:eastAsia="Times New Roman" w:hAnsi="Times New Roman" w:cs="Times New Roman"/>
            <w:color w:val="0000FF"/>
            <w:sz w:val="24"/>
            <w:szCs w:val="24"/>
          </w:rPr>
          <w:t>complete application</w:t>
        </w:r>
      </w:hyperlink>
      <w:r w:rsidRPr="00CD086C">
        <w:rPr>
          <w:rFonts w:ascii="Times New Roman" w:eastAsia="Times New Roman" w:hAnsi="Times New Roman" w:cs="Times New Roman"/>
          <w:sz w:val="24"/>
          <w:szCs w:val="24"/>
        </w:rPr>
        <w:t xml:space="preserve"> for a section 1332 waiver, updates for the status of the </w:t>
      </w:r>
      <w:hyperlink r:id="rId119"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application, and any supplemental materials received from the </w:t>
      </w:r>
      <w:hyperlink r:id="rId12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prior to and during the Federal </w:t>
      </w:r>
      <w:hyperlink r:id="rId121"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w:t>
      </w:r>
    </w:p>
    <w:p w14:paraId="1AAA4971"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 Information relating to where copies of the application for a section 1332 waiver are available for public review and comment. </w:t>
      </w:r>
    </w:p>
    <w:p w14:paraId="11D0252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(iii) Information relating to how and where written comments may be submitted and reviewed by the public, and the timeframe during which comments will be accepted. </w:t>
      </w:r>
    </w:p>
    <w:p w14:paraId="792D3BD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(iv) Any public comments received during the Federal </w:t>
      </w:r>
      <w:hyperlink r:id="rId122" w:history="1">
        <w:r w:rsidRPr="00CD086C">
          <w:rPr>
            <w:rFonts w:ascii="Times New Roman" w:eastAsia="Times New Roman" w:hAnsi="Times New Roman" w:cs="Times New Roman"/>
            <w:color w:val="0000FF"/>
            <w:sz w:val="24"/>
            <w:szCs w:val="24"/>
          </w:rPr>
          <w:t>public notice</w:t>
        </w:r>
      </w:hyperlink>
      <w:r w:rsidRPr="00CD086C">
        <w:rPr>
          <w:rFonts w:ascii="Times New Roman" w:eastAsia="Times New Roman" w:hAnsi="Times New Roman" w:cs="Times New Roman"/>
          <w:sz w:val="24"/>
          <w:szCs w:val="24"/>
        </w:rPr>
        <w:t xml:space="preserve"> and comment period. </w:t>
      </w:r>
    </w:p>
    <w:p w14:paraId="575E045E"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Approval of a section 1332 waiver application. The final decision of the Secretary and the Secretary of the Treasury, as applicable, on a </w:t>
      </w:r>
      <w:hyperlink r:id="rId12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application for a section 1332 waiver will be issued by the Secretary no later than 180 days after the determination by the Secretary and the Secretary of the Treasury, as applicable, that a </w:t>
      </w:r>
      <w:hyperlink r:id="rId124" w:history="1">
        <w:r w:rsidRPr="00CD086C">
          <w:rPr>
            <w:rFonts w:ascii="Times New Roman" w:eastAsia="Times New Roman" w:hAnsi="Times New Roman" w:cs="Times New Roman"/>
            <w:color w:val="0000FF"/>
            <w:sz w:val="24"/>
            <w:szCs w:val="24"/>
          </w:rPr>
          <w:t>complete application</w:t>
        </w:r>
      </w:hyperlink>
      <w:r w:rsidRPr="00CD086C">
        <w:rPr>
          <w:rFonts w:ascii="Times New Roman" w:eastAsia="Times New Roman" w:hAnsi="Times New Roman" w:cs="Times New Roman"/>
          <w:sz w:val="24"/>
          <w:szCs w:val="24"/>
        </w:rPr>
        <w:t xml:space="preserve"> was received in accordance with </w:t>
      </w:r>
      <w:hyperlink r:id="rId125" w:history="1">
        <w:r w:rsidRPr="00CD086C">
          <w:rPr>
            <w:rFonts w:ascii="Times New Roman" w:eastAsia="Times New Roman" w:hAnsi="Times New Roman" w:cs="Times New Roman"/>
            <w:color w:val="0000FF"/>
            <w:sz w:val="24"/>
            <w:szCs w:val="24"/>
          </w:rPr>
          <w:t>§ 155.1308</w:t>
        </w:r>
      </w:hyperlink>
      <w:r w:rsidRPr="00CD086C">
        <w:rPr>
          <w:rFonts w:ascii="Times New Roman" w:eastAsia="Times New Roman" w:hAnsi="Times New Roman" w:cs="Times New Roman"/>
          <w:sz w:val="24"/>
          <w:szCs w:val="24"/>
        </w:rPr>
        <w:t xml:space="preserve">. </w:t>
      </w:r>
    </w:p>
    <w:p w14:paraId="3206EA35" w14:textId="77777777" w:rsidR="00CD086C" w:rsidRPr="00C34D43" w:rsidRDefault="00CD086C" w:rsidP="00CD086C">
      <w:pPr>
        <w:spacing w:after="0"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lastRenderedPageBreak/>
        <w:t xml:space="preserve">§ 155.1318 Modification from the normal </w:t>
      </w:r>
      <w:hyperlink r:id="rId126"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requirements during the public health emergency.</w:t>
      </w:r>
    </w:p>
    <w:p w14:paraId="4E53BB69"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(a) The Secretary and the Secretary of the Treasury may modify, in part, the </w:t>
      </w:r>
      <w:hyperlink r:id="rId127"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w:t>
      </w:r>
      <w:hyperlink r:id="rId128"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requirements under </w:t>
      </w:r>
      <w:hyperlink r:id="rId129" w:history="1">
        <w:r w:rsidRPr="00C34D43">
          <w:rPr>
            <w:rFonts w:ascii="Times New Roman" w:eastAsia="Times New Roman" w:hAnsi="Times New Roman" w:cs="Times New Roman"/>
            <w:color w:val="7030A0"/>
            <w:sz w:val="24"/>
            <w:szCs w:val="24"/>
          </w:rPr>
          <w:t>§ 155.1312</w:t>
        </w:r>
      </w:hyperlink>
      <w:r w:rsidRPr="00C34D43">
        <w:rPr>
          <w:rFonts w:ascii="Times New Roman" w:eastAsia="Times New Roman" w:hAnsi="Times New Roman" w:cs="Times New Roman"/>
          <w:color w:val="7030A0"/>
          <w:sz w:val="24"/>
          <w:szCs w:val="24"/>
        </w:rPr>
        <w:t xml:space="preserve"> and the Federal </w:t>
      </w:r>
      <w:hyperlink r:id="rId130"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under </w:t>
      </w:r>
      <w:hyperlink r:id="rId131" w:history="1">
        <w:r w:rsidRPr="00C34D43">
          <w:rPr>
            <w:rFonts w:ascii="Times New Roman" w:eastAsia="Times New Roman" w:hAnsi="Times New Roman" w:cs="Times New Roman"/>
            <w:color w:val="7030A0"/>
            <w:sz w:val="24"/>
            <w:szCs w:val="24"/>
          </w:rPr>
          <w:t>§ 155.1316</w:t>
        </w:r>
      </w:hyperlink>
      <w:r w:rsidRPr="00C34D43">
        <w:rPr>
          <w:rFonts w:ascii="Times New Roman" w:eastAsia="Times New Roman" w:hAnsi="Times New Roman" w:cs="Times New Roman"/>
          <w:color w:val="7030A0"/>
          <w:sz w:val="24"/>
          <w:szCs w:val="24"/>
        </w:rPr>
        <w:t xml:space="preserve"> to expedite a decision on a proposed waiver request during the public health emergency, as defined in </w:t>
      </w:r>
      <w:hyperlink r:id="rId132" w:history="1">
        <w:r w:rsidRPr="00C34D43">
          <w:rPr>
            <w:rFonts w:ascii="Times New Roman" w:eastAsia="Times New Roman" w:hAnsi="Times New Roman" w:cs="Times New Roman"/>
            <w:color w:val="7030A0"/>
            <w:sz w:val="24"/>
            <w:szCs w:val="24"/>
          </w:rPr>
          <w:t>42 CFR 400.200</w:t>
        </w:r>
      </w:hyperlink>
      <w:r w:rsidRPr="00C34D43">
        <w:rPr>
          <w:rFonts w:ascii="Times New Roman" w:eastAsia="Times New Roman" w:hAnsi="Times New Roman" w:cs="Times New Roman"/>
          <w:color w:val="7030A0"/>
          <w:sz w:val="24"/>
          <w:szCs w:val="24"/>
        </w:rPr>
        <w:t xml:space="preserve">, when a delay would undermine or compromise the purpose of the proposed waiver request and be contrary to the interests of consumers. These flexibilities are limited to event-triggered, emergent situations, and the flexibilities outlined in this section will not be available for </w:t>
      </w:r>
      <w:hyperlink r:id="rId133" w:history="1">
        <w:r w:rsidRPr="00C34D43">
          <w:rPr>
            <w:rFonts w:ascii="Times New Roman" w:eastAsia="Times New Roman" w:hAnsi="Times New Roman" w:cs="Times New Roman"/>
            <w:color w:val="7030A0"/>
            <w:sz w:val="24"/>
            <w:szCs w:val="24"/>
          </w:rPr>
          <w:t>States</w:t>
        </w:r>
      </w:hyperlink>
      <w:r w:rsidRPr="00C34D43">
        <w:rPr>
          <w:rFonts w:ascii="Times New Roman" w:eastAsia="Times New Roman" w:hAnsi="Times New Roman" w:cs="Times New Roman"/>
          <w:color w:val="7030A0"/>
          <w:sz w:val="24"/>
          <w:szCs w:val="24"/>
        </w:rPr>
        <w:t xml:space="preserve"> seeking to address a threat to consumers' access to health coverage or care that existed prior to the public health emergency for COVID-19. </w:t>
      </w:r>
    </w:p>
    <w:p w14:paraId="7D4981E8"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(b) A </w:t>
      </w:r>
      <w:hyperlink r:id="rId134"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meet all of the following criteria to request a modification under </w:t>
      </w:r>
      <w:hyperlink r:id="rId135"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w:t>
      </w:r>
    </w:p>
    <w:p w14:paraId="0809AE86"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(1) The </w:t>
      </w:r>
      <w:hyperlink r:id="rId136"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request a modification under </w:t>
      </w:r>
      <w:hyperlink r:id="rId137"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in the form and manner specified by the Secretaries. </w:t>
      </w:r>
    </w:p>
    <w:p w14:paraId="76790D4A"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(2) The </w:t>
      </w:r>
      <w:hyperlink r:id="rId138"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have acted in good faith, and in a diligent, timely, and prudent manner in the preparation of the request for a modification under </w:t>
      </w:r>
      <w:hyperlink r:id="rId139"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and the waiver application request, as applicable. </w:t>
      </w:r>
    </w:p>
    <w:p w14:paraId="1CFFBC15"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(3) The </w:t>
      </w:r>
      <w:hyperlink r:id="rId140"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as applicable, detail in its request for a modification from </w:t>
      </w:r>
      <w:hyperlink r:id="rId141"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-level notice procedures under </w:t>
      </w:r>
      <w:hyperlink r:id="rId142"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the justification for the request as it relates to the public health emergency and the alternative </w:t>
      </w:r>
      <w:hyperlink r:id="rId143"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it proposes to implement at the </w:t>
      </w:r>
      <w:hyperlink r:id="rId144"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level, including public hearings, that are designed to provide the greatest opportunity and level of meaningful public input from impacted stakeholders that is practicable given the emergency circumstances underlying the </w:t>
      </w:r>
      <w:hyperlink r:id="rId145"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request for a modification. </w:t>
      </w:r>
    </w:p>
    <w:p w14:paraId="19DF3032"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(4) The </w:t>
      </w:r>
      <w:hyperlink r:id="rId146"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as applicable, detail in its request for a modification from Federal-level notice procedures under </w:t>
      </w:r>
      <w:hyperlink r:id="rId147"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the justification for the request and the alternative </w:t>
      </w:r>
      <w:hyperlink r:id="rId148"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it requests to be implemented at the Federal level. </w:t>
      </w:r>
    </w:p>
    <w:p w14:paraId="2248BB58"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(c) The Secretary and the Secretary of the Treasury will evaluate a </w:t>
      </w:r>
      <w:hyperlink r:id="rId149"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request for a modification under </w:t>
      </w:r>
      <w:hyperlink r:id="rId150" w:anchor="a" w:history="1">
        <w:r w:rsidRPr="00C34D43">
          <w:rPr>
            <w:rFonts w:ascii="Times New Roman" w:eastAsia="Times New Roman" w:hAnsi="Times New Roman" w:cs="Times New Roman"/>
            <w:color w:val="7030A0"/>
            <w:sz w:val="24"/>
            <w:szCs w:val="24"/>
          </w:rPr>
          <w:t>paragraph (a)</w:t>
        </w:r>
      </w:hyperlink>
      <w:r w:rsidRPr="00C34D43">
        <w:rPr>
          <w:rFonts w:ascii="Times New Roman" w:eastAsia="Times New Roman" w:hAnsi="Times New Roman" w:cs="Times New Roman"/>
          <w:color w:val="7030A0"/>
          <w:sz w:val="24"/>
          <w:szCs w:val="24"/>
        </w:rPr>
        <w:t xml:space="preserve"> of this section and issue their modification determination within approximately 15 calendar days after the request is received. </w:t>
      </w:r>
    </w:p>
    <w:p w14:paraId="5B47D5E4"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(d) The Secretary will publish on the CMS website any modification determinations within 15 calendar days of the Secretary and the Secretary of the Treasury making such a determination, as well as the approved revised timeline for public comment under the approved alternative </w:t>
      </w:r>
      <w:hyperlink r:id="rId151"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or Federal </w:t>
      </w:r>
      <w:hyperlink r:id="rId152"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as applicable. </w:t>
      </w:r>
    </w:p>
    <w:p w14:paraId="6DE56B22"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(e) The </w:t>
      </w:r>
      <w:hyperlink r:id="rId153"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publish on its website any modification requests and determinations within 15 calendar days of receipt of the determination, as well as the approved revised timeline for public comment under the alternative </w:t>
      </w:r>
      <w:hyperlink r:id="rId154"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or Federal </w:t>
      </w:r>
      <w:hyperlink r:id="rId155"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as applicable. </w:t>
      </w:r>
    </w:p>
    <w:p w14:paraId="154BF95B"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lastRenderedPageBreak/>
        <w:t xml:space="preserve">(f) The </w:t>
      </w:r>
      <w:hyperlink r:id="rId156"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as applicable, implement the alternative </w:t>
      </w:r>
      <w:hyperlink r:id="rId157"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at the </w:t>
      </w:r>
      <w:hyperlink r:id="rId158"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level if the </w:t>
      </w:r>
      <w:hyperlink r:id="rId159"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modification request is approved and, if required, amend the waiver application request. </w:t>
      </w:r>
    </w:p>
    <w:p w14:paraId="1EA9D13B" w14:textId="77777777" w:rsidR="00CD086C" w:rsidRPr="00C34D43" w:rsidRDefault="00CD086C" w:rsidP="00CD086C">
      <w:pPr>
        <w:spacing w:after="0"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w:t>
      </w:r>
      <w:hyperlink r:id="rId160" w:history="1">
        <w:r w:rsidRPr="00C34D43">
          <w:rPr>
            <w:rFonts w:ascii="Times New Roman" w:eastAsia="Times New Roman" w:hAnsi="Times New Roman" w:cs="Times New Roman"/>
            <w:color w:val="7030A0"/>
            <w:sz w:val="24"/>
            <w:szCs w:val="24"/>
          </w:rPr>
          <w:t>85 FR 71202</w:t>
        </w:r>
      </w:hyperlink>
      <w:r w:rsidRPr="00C34D43">
        <w:rPr>
          <w:rFonts w:ascii="Times New Roman" w:eastAsia="Times New Roman" w:hAnsi="Times New Roman" w:cs="Times New Roman"/>
          <w:color w:val="7030A0"/>
          <w:sz w:val="24"/>
          <w:szCs w:val="24"/>
        </w:rPr>
        <w:t xml:space="preserve">, Nov. 6, 2020] </w:t>
      </w:r>
    </w:p>
    <w:p w14:paraId="298B535D" w14:textId="73CC8E9C" w:rsidR="00CD086C" w:rsidRPr="009E7861" w:rsidRDefault="00CD086C"/>
    <w:p w14:paraId="455EE63A"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155.1320 Monitoring and compliance.</w:t>
      </w:r>
    </w:p>
    <w:p w14:paraId="64B31B01"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General. </w:t>
      </w:r>
    </w:p>
    <w:p w14:paraId="461FF0B2" w14:textId="0384F29A"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Following the issuance of a final decision to approve a section 1332 waiver by the Secretary and the Secretary of the Treasury, as applicable, a </w:t>
      </w:r>
      <w:hyperlink r:id="rId16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comply with all applicable Federal laws, regulations, interpretive policy statements</w:t>
      </w:r>
      <w:r w:rsidR="009E7861" w:rsidRPr="009E7861">
        <w:rPr>
          <w:rFonts w:ascii="Times New Roman" w:eastAsia="Times New Roman" w:hAnsi="Times New Roman" w:cs="Times New Roman"/>
          <w:sz w:val="24"/>
          <w:szCs w:val="24"/>
        </w:rPr>
        <w:t xml:space="preserve">, </w:t>
      </w:r>
      <w:r w:rsidR="009E7861" w:rsidRPr="009E7861">
        <w:rPr>
          <w:rFonts w:ascii="Times New Roman" w:eastAsia="Times New Roman" w:hAnsi="Times New Roman" w:cs="Times New Roman"/>
          <w:color w:val="FF0000"/>
          <w:sz w:val="24"/>
          <w:szCs w:val="24"/>
        </w:rPr>
        <w:t>as well as</w:t>
      </w:r>
      <w:r w:rsidRPr="00CD086C">
        <w:rPr>
          <w:rFonts w:ascii="Times New Roman" w:eastAsia="Times New Roman" w:hAnsi="Times New Roman" w:cs="Times New Roman"/>
          <w:color w:val="FF0000"/>
          <w:sz w:val="24"/>
          <w:szCs w:val="24"/>
        </w:rPr>
        <w:t xml:space="preserve"> </w:t>
      </w:r>
      <w:proofErr w:type="spellStart"/>
      <w:r w:rsidRPr="00CD086C">
        <w:rPr>
          <w:rFonts w:ascii="Times New Roman" w:eastAsia="Times New Roman" w:hAnsi="Times New Roman" w:cs="Times New Roman"/>
          <w:strike/>
          <w:color w:val="FF0000"/>
          <w:sz w:val="24"/>
          <w:szCs w:val="24"/>
        </w:rPr>
        <w:t>and</w:t>
      </w:r>
      <w:proofErr w:type="spellEnd"/>
      <w:r w:rsidRPr="00CD086C">
        <w:rPr>
          <w:rFonts w:ascii="Times New Roman" w:eastAsia="Times New Roman" w:hAnsi="Times New Roman" w:cs="Times New Roman"/>
          <w:color w:val="FF0000"/>
          <w:sz w:val="24"/>
          <w:szCs w:val="24"/>
        </w:rPr>
        <w:t xml:space="preserve"> </w:t>
      </w:r>
      <w:r w:rsidRPr="00CD086C">
        <w:rPr>
          <w:rFonts w:ascii="Times New Roman" w:eastAsia="Times New Roman" w:hAnsi="Times New Roman" w:cs="Times New Roman"/>
          <w:sz w:val="24"/>
          <w:szCs w:val="24"/>
        </w:rPr>
        <w:t xml:space="preserve">interpretive guidance </w:t>
      </w:r>
      <w:r w:rsidR="009E7861" w:rsidRPr="009E7861">
        <w:rPr>
          <w:rFonts w:ascii="TimesNewRomanPSMT" w:hAnsi="TimesNewRomanPSMT" w:cs="TimesNewRomanPSMT"/>
          <w:color w:val="FF0000"/>
          <w:sz w:val="24"/>
          <w:szCs w:val="24"/>
        </w:rPr>
        <w:t>published by the Secretary and the Secretary of the Treasury,</w:t>
      </w:r>
      <w:r w:rsidR="009E7861" w:rsidRPr="009E7861">
        <w:rPr>
          <w:rFonts w:ascii="Times New Roman" w:eastAsia="Times New Roman" w:hAnsi="Times New Roman" w:cs="Times New Roman"/>
          <w:color w:val="FF0000"/>
          <w:sz w:val="24"/>
          <w:szCs w:val="24"/>
        </w:rPr>
        <w:t xml:space="preserve"> </w:t>
      </w:r>
      <w:r w:rsidRPr="00CD086C">
        <w:rPr>
          <w:rFonts w:ascii="Times New Roman" w:eastAsia="Times New Roman" w:hAnsi="Times New Roman" w:cs="Times New Roman"/>
          <w:sz w:val="24"/>
          <w:szCs w:val="24"/>
        </w:rPr>
        <w:t xml:space="preserve">unless expressly waived. A </w:t>
      </w:r>
      <w:hyperlink r:id="rId162"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within the timeframes specified in law, regulation, policy or guidance, come into compliance with any changes in Federal law, regulation, or policy affecting section 1332 waivers, unless the provision being changed is expressly waived. </w:t>
      </w:r>
    </w:p>
    <w:p w14:paraId="5261B5C1" w14:textId="1E16CF5B" w:rsidR="00CD086C" w:rsidRPr="009E7861" w:rsidRDefault="00CD086C" w:rsidP="009E7861">
      <w:pPr>
        <w:autoSpaceDE w:val="0"/>
        <w:autoSpaceDN w:val="0"/>
        <w:adjustRightInd w:val="0"/>
        <w:spacing w:after="0" w:line="240" w:lineRule="auto"/>
        <w:rPr>
          <w:rFonts w:ascii="TimesNewRomanPSMT" w:hAnsi="TimesNewRomanPSMT" w:cs="TimesNewRomanPSMT"/>
          <w:color w:val="FF0000"/>
          <w:sz w:val="24"/>
          <w:szCs w:val="24"/>
        </w:rPr>
      </w:pPr>
      <w:r w:rsidRPr="00CD086C">
        <w:rPr>
          <w:rFonts w:ascii="Times New Roman" w:eastAsia="Times New Roman" w:hAnsi="Times New Roman" w:cs="Times New Roman"/>
          <w:sz w:val="24"/>
          <w:szCs w:val="24"/>
        </w:rPr>
        <w:t xml:space="preserve">(2) </w:t>
      </w:r>
      <w:r w:rsidRPr="00CD086C">
        <w:rPr>
          <w:rFonts w:ascii="Times New Roman" w:eastAsia="Times New Roman" w:hAnsi="Times New Roman" w:cs="Times New Roman"/>
          <w:strike/>
          <w:sz w:val="24"/>
          <w:szCs w:val="24"/>
        </w:rPr>
        <w:t xml:space="preserve">A </w:t>
      </w:r>
      <w:hyperlink r:id="rId163" w:history="1">
        <w:r w:rsidRPr="00CD086C">
          <w:rPr>
            <w:rFonts w:ascii="Times New Roman" w:eastAsia="Times New Roman" w:hAnsi="Times New Roman" w:cs="Times New Roman"/>
            <w:strike/>
            <w:color w:val="0000FF"/>
            <w:sz w:val="24"/>
            <w:szCs w:val="24"/>
          </w:rPr>
          <w:t>State</w:t>
        </w:r>
      </w:hyperlink>
      <w:r w:rsidRPr="00CD086C">
        <w:rPr>
          <w:rFonts w:ascii="Times New Roman" w:eastAsia="Times New Roman" w:hAnsi="Times New Roman" w:cs="Times New Roman"/>
          <w:strike/>
          <w:sz w:val="24"/>
          <w:szCs w:val="24"/>
        </w:rPr>
        <w:t xml:space="preserve"> must comply with the terms and </w:t>
      </w:r>
      <w:hyperlink r:id="rId164" w:history="1">
        <w:r w:rsidRPr="00CD086C">
          <w:rPr>
            <w:rFonts w:ascii="Times New Roman" w:eastAsia="Times New Roman" w:hAnsi="Times New Roman" w:cs="Times New Roman"/>
            <w:strike/>
            <w:color w:val="0000FF"/>
            <w:sz w:val="24"/>
            <w:szCs w:val="24"/>
          </w:rPr>
          <w:t>conditions</w:t>
        </w:r>
      </w:hyperlink>
      <w:r w:rsidRPr="00CD086C">
        <w:rPr>
          <w:rFonts w:ascii="Times New Roman" w:eastAsia="Times New Roman" w:hAnsi="Times New Roman" w:cs="Times New Roman"/>
          <w:strike/>
          <w:sz w:val="24"/>
          <w:szCs w:val="24"/>
        </w:rPr>
        <w:t xml:space="preserve"> of the agreement between the Secretary, the Secretary of the Treasury, as applicable, and the </w:t>
      </w:r>
      <w:hyperlink r:id="rId165" w:history="1">
        <w:r w:rsidRPr="00CD086C">
          <w:rPr>
            <w:rFonts w:ascii="Times New Roman" w:eastAsia="Times New Roman" w:hAnsi="Times New Roman" w:cs="Times New Roman"/>
            <w:strike/>
            <w:color w:val="0000FF"/>
            <w:sz w:val="24"/>
            <w:szCs w:val="24"/>
          </w:rPr>
          <w:t>State</w:t>
        </w:r>
      </w:hyperlink>
      <w:r w:rsidRPr="00CD086C">
        <w:rPr>
          <w:rFonts w:ascii="Times New Roman" w:eastAsia="Times New Roman" w:hAnsi="Times New Roman" w:cs="Times New Roman"/>
          <w:strike/>
          <w:sz w:val="24"/>
          <w:szCs w:val="24"/>
        </w:rPr>
        <w:t xml:space="preserve"> to implement a section 1332 waiver</w:t>
      </w:r>
      <w:r w:rsidRPr="00CD086C">
        <w:rPr>
          <w:rFonts w:ascii="Times New Roman" w:eastAsia="Times New Roman" w:hAnsi="Times New Roman" w:cs="Times New Roman"/>
          <w:sz w:val="24"/>
          <w:szCs w:val="24"/>
        </w:rPr>
        <w:t xml:space="preserve">. </w:t>
      </w:r>
      <w:r w:rsidR="009E7861" w:rsidRPr="009E7861">
        <w:rPr>
          <w:rFonts w:ascii="Times New Roman" w:eastAsia="Times New Roman" w:hAnsi="Times New Roman" w:cs="Times New Roman"/>
          <w:sz w:val="24"/>
          <w:szCs w:val="24"/>
        </w:rPr>
        <w:t xml:space="preserve"> </w:t>
      </w:r>
      <w:r w:rsidR="009E7861" w:rsidRPr="009E7861">
        <w:rPr>
          <w:rFonts w:ascii="TimesNewRomanPSMT" w:hAnsi="TimesNewRomanPSMT" w:cs="TimesNewRomanPSMT"/>
          <w:color w:val="FF0000"/>
          <w:sz w:val="24"/>
          <w:szCs w:val="24"/>
        </w:rPr>
        <w:t>The Secretary and the Secretary of the Treasury will examine compliance with Federal and regulatory requirements consistent with § 155.1308(f)(3)(iv) and interpretive guidance published by the Secretary and the Secretary of the Treasury when conducting implementation reviews under paragraph (b) of this section.</w:t>
      </w:r>
    </w:p>
    <w:p w14:paraId="098685D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Implementation reviews. </w:t>
      </w:r>
    </w:p>
    <w:p w14:paraId="08C8F24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The terms and </w:t>
      </w:r>
      <w:hyperlink r:id="rId166" w:history="1">
        <w:r w:rsidRPr="00CD086C">
          <w:rPr>
            <w:rFonts w:ascii="Times New Roman" w:eastAsia="Times New Roman" w:hAnsi="Times New Roman" w:cs="Times New Roman"/>
            <w:color w:val="0000FF"/>
            <w:sz w:val="24"/>
            <w:szCs w:val="24"/>
          </w:rPr>
          <w:t>conditions</w:t>
        </w:r>
      </w:hyperlink>
      <w:r w:rsidRPr="00CD086C">
        <w:rPr>
          <w:rFonts w:ascii="Times New Roman" w:eastAsia="Times New Roman" w:hAnsi="Times New Roman" w:cs="Times New Roman"/>
          <w:sz w:val="24"/>
          <w:szCs w:val="24"/>
        </w:rPr>
        <w:t xml:space="preserve"> of an approved section 1332 waiver will provide that the </w:t>
      </w:r>
      <w:hyperlink r:id="rId16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will perform periodic reviews of the implementation of the section 1332 waiver. </w:t>
      </w:r>
    </w:p>
    <w:p w14:paraId="2002721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The Secretary and the Secretary of the Treasury, as applicable, will review documented complaints that a </w:t>
      </w:r>
      <w:hyperlink r:id="rId16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is failing to comply with requirements specified in the terms and </w:t>
      </w:r>
      <w:hyperlink r:id="rId169" w:history="1">
        <w:r w:rsidRPr="00CD086C">
          <w:rPr>
            <w:rFonts w:ascii="Times New Roman" w:eastAsia="Times New Roman" w:hAnsi="Times New Roman" w:cs="Times New Roman"/>
            <w:color w:val="0000FF"/>
            <w:sz w:val="24"/>
            <w:szCs w:val="24"/>
          </w:rPr>
          <w:t>conditions</w:t>
        </w:r>
      </w:hyperlink>
      <w:r w:rsidRPr="00CD086C">
        <w:rPr>
          <w:rFonts w:ascii="Times New Roman" w:eastAsia="Times New Roman" w:hAnsi="Times New Roman" w:cs="Times New Roman"/>
          <w:sz w:val="24"/>
          <w:szCs w:val="24"/>
        </w:rPr>
        <w:t xml:space="preserve"> of any approved section 1332 waiver. </w:t>
      </w:r>
    </w:p>
    <w:p w14:paraId="18DFCB54"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The Secretary and the Secretary of the Treasury, as applicable, will promptly share with a </w:t>
      </w:r>
      <w:hyperlink r:id="rId17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any complaint that the Secretary and the Secretary of the Treasury has received and will also provide notification of any applicable monitoring and compliance issues. </w:t>
      </w:r>
    </w:p>
    <w:p w14:paraId="5C88095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Post award. Within at least 6 months after the implementation date of a section 1332 waiver and annually thereafter, a </w:t>
      </w:r>
      <w:hyperlink r:id="rId17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hold a public forum to solicit comments on the progress of a section 1332 waiver. The </w:t>
      </w:r>
      <w:hyperlink r:id="rId172"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hold the public forum at which members of the public have an opportunity to provide comments and must provide a summary of the forum to the Secretary as part of the quarterly report specified in </w:t>
      </w:r>
      <w:hyperlink r:id="rId173" w:anchor="a" w:history="1">
        <w:r w:rsidRPr="00CD086C">
          <w:rPr>
            <w:rFonts w:ascii="Times New Roman" w:eastAsia="Times New Roman" w:hAnsi="Times New Roman" w:cs="Times New Roman"/>
            <w:color w:val="0000FF"/>
            <w:sz w:val="24"/>
            <w:szCs w:val="24"/>
          </w:rPr>
          <w:t>§ 155.1324(a)</w:t>
        </w:r>
      </w:hyperlink>
      <w:r w:rsidRPr="00CD086C">
        <w:rPr>
          <w:rFonts w:ascii="Times New Roman" w:eastAsia="Times New Roman" w:hAnsi="Times New Roman" w:cs="Times New Roman"/>
          <w:sz w:val="24"/>
          <w:szCs w:val="24"/>
        </w:rPr>
        <w:t xml:space="preserve"> that is associated with the quarter in which the forum was held, as well as in the annual report specified in </w:t>
      </w:r>
      <w:hyperlink r:id="rId174" w:anchor="b" w:history="1">
        <w:r w:rsidRPr="00CD086C">
          <w:rPr>
            <w:rFonts w:ascii="Times New Roman" w:eastAsia="Times New Roman" w:hAnsi="Times New Roman" w:cs="Times New Roman"/>
            <w:color w:val="0000FF"/>
            <w:sz w:val="24"/>
            <w:szCs w:val="24"/>
          </w:rPr>
          <w:t>§ 155.1324(b)</w:t>
        </w:r>
      </w:hyperlink>
      <w:r w:rsidRPr="00CD086C">
        <w:rPr>
          <w:rFonts w:ascii="Times New Roman" w:eastAsia="Times New Roman" w:hAnsi="Times New Roman" w:cs="Times New Roman"/>
          <w:sz w:val="24"/>
          <w:szCs w:val="24"/>
        </w:rPr>
        <w:t xml:space="preserve"> that is associated with the year in which the forum was held. </w:t>
      </w:r>
    </w:p>
    <w:p w14:paraId="69DC294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lastRenderedPageBreak/>
        <w:t xml:space="preserve">(1) Notification requirements for public forum. The </w:t>
      </w:r>
      <w:hyperlink r:id="rId17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publish the date, time, and location of the public forum in a prominent location on the </w:t>
      </w:r>
      <w:hyperlink r:id="rId17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public web site, at least 30 days prior to the date of the </w:t>
      </w:r>
      <w:hyperlink r:id="rId177" w:history="1">
        <w:r w:rsidRPr="00CD086C">
          <w:rPr>
            <w:rFonts w:ascii="Times New Roman" w:eastAsia="Times New Roman" w:hAnsi="Times New Roman" w:cs="Times New Roman"/>
            <w:color w:val="0000FF"/>
            <w:sz w:val="24"/>
            <w:szCs w:val="24"/>
          </w:rPr>
          <w:t>planned</w:t>
        </w:r>
      </w:hyperlink>
      <w:r w:rsidRPr="00CD086C">
        <w:rPr>
          <w:rFonts w:ascii="Times New Roman" w:eastAsia="Times New Roman" w:hAnsi="Times New Roman" w:cs="Times New Roman"/>
          <w:sz w:val="24"/>
          <w:szCs w:val="24"/>
        </w:rPr>
        <w:t xml:space="preserve"> public forum. </w:t>
      </w:r>
    </w:p>
    <w:p w14:paraId="3E2933C2"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(2) Modification from the normal post award requirements during the public health emergency. </w:t>
      </w:r>
    </w:p>
    <w:p w14:paraId="4DB36993"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(i) The Secretary and the Secretary of the Treasury may modify, in part, </w:t>
      </w:r>
      <w:hyperlink r:id="rId178"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post award requirements under this paragraph (c)(2) for an approved waiver request during the public health emergency, as defined in </w:t>
      </w:r>
      <w:hyperlink r:id="rId179" w:history="1">
        <w:r w:rsidRPr="00C34D43">
          <w:rPr>
            <w:rFonts w:ascii="Times New Roman" w:eastAsia="Times New Roman" w:hAnsi="Times New Roman" w:cs="Times New Roman"/>
            <w:color w:val="7030A0"/>
            <w:sz w:val="24"/>
            <w:szCs w:val="24"/>
          </w:rPr>
          <w:t>42 CFR 400.200</w:t>
        </w:r>
      </w:hyperlink>
      <w:r w:rsidRPr="00C34D43">
        <w:rPr>
          <w:rFonts w:ascii="Times New Roman" w:eastAsia="Times New Roman" w:hAnsi="Times New Roman" w:cs="Times New Roman"/>
          <w:color w:val="7030A0"/>
          <w:sz w:val="24"/>
          <w:szCs w:val="24"/>
        </w:rPr>
        <w:t xml:space="preserve">, when the application of the post award </w:t>
      </w:r>
      <w:hyperlink r:id="rId180"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requirements would be contrary to the interests of consumers during the public health emergency. These flexibilities are limited to event-triggered, emergent situations, and the flexibilities outlined in this section will not be available for </w:t>
      </w:r>
      <w:hyperlink r:id="rId181" w:history="1">
        <w:r w:rsidRPr="00C34D43">
          <w:rPr>
            <w:rFonts w:ascii="Times New Roman" w:eastAsia="Times New Roman" w:hAnsi="Times New Roman" w:cs="Times New Roman"/>
            <w:color w:val="7030A0"/>
            <w:sz w:val="24"/>
            <w:szCs w:val="24"/>
          </w:rPr>
          <w:t>States</w:t>
        </w:r>
      </w:hyperlink>
      <w:r w:rsidRPr="00C34D43">
        <w:rPr>
          <w:rFonts w:ascii="Times New Roman" w:eastAsia="Times New Roman" w:hAnsi="Times New Roman" w:cs="Times New Roman"/>
          <w:color w:val="7030A0"/>
          <w:sz w:val="24"/>
          <w:szCs w:val="24"/>
        </w:rPr>
        <w:t xml:space="preserve"> seeking to address a threat to consumers' access to health coverage or care that existed prior to the public health emergency for COVID-19. </w:t>
      </w:r>
    </w:p>
    <w:p w14:paraId="76E60CE8"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(ii) A </w:t>
      </w:r>
      <w:hyperlink r:id="rId182"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meet all of the following criteria to request a modification under </w:t>
      </w:r>
      <w:hyperlink r:id="rId183" w:anchor="c" w:history="1">
        <w:r w:rsidRPr="00C34D43">
          <w:rPr>
            <w:rFonts w:ascii="Times New Roman" w:eastAsia="Times New Roman" w:hAnsi="Times New Roman" w:cs="Times New Roman"/>
            <w:color w:val="7030A0"/>
            <w:sz w:val="24"/>
            <w:szCs w:val="24"/>
          </w:rPr>
          <w:t>paragraph (c)</w:t>
        </w:r>
      </w:hyperlink>
      <w:r w:rsidRPr="00C34D43">
        <w:rPr>
          <w:rFonts w:ascii="Times New Roman" w:eastAsia="Times New Roman" w:hAnsi="Times New Roman" w:cs="Times New Roman"/>
          <w:color w:val="7030A0"/>
          <w:sz w:val="24"/>
          <w:szCs w:val="24"/>
        </w:rPr>
        <w:t xml:space="preserve"> of this section: </w:t>
      </w:r>
    </w:p>
    <w:p w14:paraId="728A1EAF"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(A) The </w:t>
      </w:r>
      <w:hyperlink r:id="rId184"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request a modification under </w:t>
      </w:r>
      <w:hyperlink r:id="rId185" w:anchor="c_2" w:history="1">
        <w:r w:rsidRPr="00C34D43">
          <w:rPr>
            <w:rFonts w:ascii="Times New Roman" w:eastAsia="Times New Roman" w:hAnsi="Times New Roman" w:cs="Times New Roman"/>
            <w:color w:val="7030A0"/>
            <w:sz w:val="24"/>
            <w:szCs w:val="24"/>
          </w:rPr>
          <w:t>paragraph (c)(2)</w:t>
        </w:r>
      </w:hyperlink>
      <w:r w:rsidRPr="00C34D43">
        <w:rPr>
          <w:rFonts w:ascii="Times New Roman" w:eastAsia="Times New Roman" w:hAnsi="Times New Roman" w:cs="Times New Roman"/>
          <w:color w:val="7030A0"/>
          <w:sz w:val="24"/>
          <w:szCs w:val="24"/>
        </w:rPr>
        <w:t xml:space="preserve"> of this section, in the form and manner specified by the Secretaries. </w:t>
      </w:r>
    </w:p>
    <w:p w14:paraId="37C809E6"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(B) The </w:t>
      </w:r>
      <w:hyperlink r:id="rId186"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have acted in good faith, and in a diligent, timely, and prudent manner to comply with the monitoring and compliance requirement under the waiver and the terms and </w:t>
      </w:r>
      <w:hyperlink r:id="rId187" w:history="1">
        <w:r w:rsidRPr="00C34D43">
          <w:rPr>
            <w:rFonts w:ascii="Times New Roman" w:eastAsia="Times New Roman" w:hAnsi="Times New Roman" w:cs="Times New Roman"/>
            <w:color w:val="7030A0"/>
            <w:sz w:val="24"/>
            <w:szCs w:val="24"/>
          </w:rPr>
          <w:t>conditions</w:t>
        </w:r>
      </w:hyperlink>
      <w:r w:rsidRPr="00C34D43">
        <w:rPr>
          <w:rFonts w:ascii="Times New Roman" w:eastAsia="Times New Roman" w:hAnsi="Times New Roman" w:cs="Times New Roman"/>
          <w:color w:val="7030A0"/>
          <w:sz w:val="24"/>
          <w:szCs w:val="24"/>
        </w:rPr>
        <w:t xml:space="preserve"> of the agreement between the Secretary and the Secretary of the Treasury, as applicable, and the </w:t>
      </w:r>
      <w:hyperlink r:id="rId188"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to implement a section 1332 waiver and to submit and prepare the request for a modification under </w:t>
      </w:r>
      <w:hyperlink r:id="rId189" w:anchor="c_2" w:history="1">
        <w:r w:rsidRPr="00C34D43">
          <w:rPr>
            <w:rFonts w:ascii="Times New Roman" w:eastAsia="Times New Roman" w:hAnsi="Times New Roman" w:cs="Times New Roman"/>
            <w:color w:val="7030A0"/>
            <w:sz w:val="24"/>
            <w:szCs w:val="24"/>
          </w:rPr>
          <w:t>paragraph (c)(2)</w:t>
        </w:r>
      </w:hyperlink>
      <w:r w:rsidRPr="00C34D43">
        <w:rPr>
          <w:rFonts w:ascii="Times New Roman" w:eastAsia="Times New Roman" w:hAnsi="Times New Roman" w:cs="Times New Roman"/>
          <w:color w:val="7030A0"/>
          <w:sz w:val="24"/>
          <w:szCs w:val="24"/>
        </w:rPr>
        <w:t xml:space="preserve"> of this section. </w:t>
      </w:r>
    </w:p>
    <w:p w14:paraId="10308CCE"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(C) The </w:t>
      </w:r>
      <w:hyperlink r:id="rId190"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detail in its request for a modification under </w:t>
      </w:r>
      <w:hyperlink r:id="rId191" w:anchor="c_2" w:history="1">
        <w:r w:rsidRPr="00C34D43">
          <w:rPr>
            <w:rFonts w:ascii="Times New Roman" w:eastAsia="Times New Roman" w:hAnsi="Times New Roman" w:cs="Times New Roman"/>
            <w:color w:val="7030A0"/>
            <w:sz w:val="24"/>
            <w:szCs w:val="24"/>
          </w:rPr>
          <w:t>paragraph (c)(2)</w:t>
        </w:r>
      </w:hyperlink>
      <w:r w:rsidRPr="00C34D43">
        <w:rPr>
          <w:rFonts w:ascii="Times New Roman" w:eastAsia="Times New Roman" w:hAnsi="Times New Roman" w:cs="Times New Roman"/>
          <w:color w:val="7030A0"/>
          <w:sz w:val="24"/>
          <w:szCs w:val="24"/>
        </w:rPr>
        <w:t xml:space="preserve"> of this section the alternative post award </w:t>
      </w:r>
      <w:hyperlink r:id="rId192"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it proposes to implement at the </w:t>
      </w:r>
      <w:hyperlink r:id="rId193"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level, including public hearings, that are designed to provide the greatest opportunity and level of meaningful public input from impacted stakeholders that is practicable given the emergency circumstances underlying the </w:t>
      </w:r>
      <w:hyperlink r:id="rId194"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request for a modification. </w:t>
      </w:r>
    </w:p>
    <w:p w14:paraId="319682EB"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(D) The Secretary and the Secretary of the Treasury will evaluate a </w:t>
      </w:r>
      <w:hyperlink r:id="rId195"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request for a modification under </w:t>
      </w:r>
      <w:hyperlink r:id="rId196" w:anchor="c_2" w:history="1">
        <w:r w:rsidRPr="00C34D43">
          <w:rPr>
            <w:rFonts w:ascii="Times New Roman" w:eastAsia="Times New Roman" w:hAnsi="Times New Roman" w:cs="Times New Roman"/>
            <w:color w:val="7030A0"/>
            <w:sz w:val="24"/>
            <w:szCs w:val="24"/>
          </w:rPr>
          <w:t>paragraph (c)(2)</w:t>
        </w:r>
      </w:hyperlink>
      <w:r w:rsidRPr="00C34D43">
        <w:rPr>
          <w:rFonts w:ascii="Times New Roman" w:eastAsia="Times New Roman" w:hAnsi="Times New Roman" w:cs="Times New Roman"/>
          <w:color w:val="7030A0"/>
          <w:sz w:val="24"/>
          <w:szCs w:val="24"/>
        </w:rPr>
        <w:t xml:space="preserve"> of this section and issue their modification determination within approximately 15 calendar days after the request is received. </w:t>
      </w:r>
    </w:p>
    <w:p w14:paraId="7629412B" w14:textId="77777777" w:rsidR="00CD086C" w:rsidRPr="00C34D43" w:rsidRDefault="00CD086C" w:rsidP="00CD086C">
      <w:pPr>
        <w:spacing w:before="100" w:beforeAutospacing="1" w:after="100" w:afterAutospacing="1" w:line="240" w:lineRule="auto"/>
        <w:rPr>
          <w:rFonts w:ascii="Times New Roman" w:eastAsia="Times New Roman" w:hAnsi="Times New Roman" w:cs="Times New Roman"/>
          <w:color w:val="7030A0"/>
          <w:sz w:val="24"/>
          <w:szCs w:val="24"/>
        </w:rPr>
      </w:pPr>
      <w:r w:rsidRPr="00C34D43">
        <w:rPr>
          <w:rFonts w:ascii="Times New Roman" w:eastAsia="Times New Roman" w:hAnsi="Times New Roman" w:cs="Times New Roman"/>
          <w:color w:val="7030A0"/>
          <w:sz w:val="24"/>
          <w:szCs w:val="24"/>
        </w:rPr>
        <w:t xml:space="preserve">(E) The </w:t>
      </w:r>
      <w:hyperlink r:id="rId197"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 must publish on its website any modification requests and determinations within 15 calendar days of receipt of the determination, as well as information on the approved revised timeline for the </w:t>
      </w:r>
      <w:hyperlink r:id="rId198" w:history="1">
        <w:r w:rsidRPr="00C34D43">
          <w:rPr>
            <w:rFonts w:ascii="Times New Roman" w:eastAsia="Times New Roman" w:hAnsi="Times New Roman" w:cs="Times New Roman"/>
            <w:color w:val="7030A0"/>
            <w:sz w:val="24"/>
            <w:szCs w:val="24"/>
          </w:rPr>
          <w:t>State</w:t>
        </w:r>
      </w:hyperlink>
      <w:r w:rsidRPr="00C34D43">
        <w:rPr>
          <w:rFonts w:ascii="Times New Roman" w:eastAsia="Times New Roman" w:hAnsi="Times New Roman" w:cs="Times New Roman"/>
          <w:color w:val="7030A0"/>
          <w:sz w:val="24"/>
          <w:szCs w:val="24"/>
        </w:rPr>
        <w:t xml:space="preserve">'s post award </w:t>
      </w:r>
      <w:hyperlink r:id="rId199" w:history="1">
        <w:r w:rsidRPr="00C34D43">
          <w:rPr>
            <w:rFonts w:ascii="Times New Roman" w:eastAsia="Times New Roman" w:hAnsi="Times New Roman" w:cs="Times New Roman"/>
            <w:color w:val="7030A0"/>
            <w:sz w:val="24"/>
            <w:szCs w:val="24"/>
          </w:rPr>
          <w:t>public notice</w:t>
        </w:r>
      </w:hyperlink>
      <w:r w:rsidRPr="00C34D43">
        <w:rPr>
          <w:rFonts w:ascii="Times New Roman" w:eastAsia="Times New Roman" w:hAnsi="Times New Roman" w:cs="Times New Roman"/>
          <w:color w:val="7030A0"/>
          <w:sz w:val="24"/>
          <w:szCs w:val="24"/>
        </w:rPr>
        <w:t xml:space="preserve"> procedures, as applicable. </w:t>
      </w:r>
    </w:p>
    <w:p w14:paraId="27B5F99F"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(d) Terminations and suspensions. The Secretary and the Secretary of the Treasury, as applicable, reserve the right to suspend or terminate a section 1332 waiver in whole or in part, at any time before the date of expiration, whenever the Secretary or the Secretary of the Treasury, as applicable, determines that a </w:t>
      </w:r>
      <w:hyperlink r:id="rId20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has materially failed to comply with the terms of a section 1332 waiver. </w:t>
      </w:r>
    </w:p>
    <w:p w14:paraId="0B360AE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lastRenderedPageBreak/>
        <w:t xml:space="preserve">(e) Closeout costs. If all or part of a section 1332 waiver is terminated or suspended, or if a portion of a section 1332 waiver is withdrawn, Federal funding is limited to normal closeout costs associated with an orderly </w:t>
      </w:r>
      <w:hyperlink r:id="rId201" w:history="1">
        <w:r w:rsidRPr="00CD086C">
          <w:rPr>
            <w:rFonts w:ascii="Times New Roman" w:eastAsia="Times New Roman" w:hAnsi="Times New Roman" w:cs="Times New Roman"/>
            <w:color w:val="0000FF"/>
            <w:sz w:val="24"/>
            <w:szCs w:val="24"/>
          </w:rPr>
          <w:t>termination</w:t>
        </w:r>
      </w:hyperlink>
      <w:r w:rsidRPr="00CD086C">
        <w:rPr>
          <w:rFonts w:ascii="Times New Roman" w:eastAsia="Times New Roman" w:hAnsi="Times New Roman" w:cs="Times New Roman"/>
          <w:sz w:val="24"/>
          <w:szCs w:val="24"/>
        </w:rPr>
        <w:t xml:space="preserve">, suspension, or withdrawal, including service costs during any approved </w:t>
      </w:r>
      <w:hyperlink r:id="rId202" w:history="1">
        <w:r w:rsidRPr="00CD086C">
          <w:rPr>
            <w:rFonts w:ascii="Times New Roman" w:eastAsia="Times New Roman" w:hAnsi="Times New Roman" w:cs="Times New Roman"/>
            <w:color w:val="0000FF"/>
            <w:sz w:val="24"/>
            <w:szCs w:val="24"/>
          </w:rPr>
          <w:t>transition period</w:t>
        </w:r>
      </w:hyperlink>
      <w:r w:rsidRPr="00CD086C">
        <w:rPr>
          <w:rFonts w:ascii="Times New Roman" w:eastAsia="Times New Roman" w:hAnsi="Times New Roman" w:cs="Times New Roman"/>
          <w:sz w:val="24"/>
          <w:szCs w:val="24"/>
        </w:rPr>
        <w:t xml:space="preserve">, and administrative costs of disenrolling participants. </w:t>
      </w:r>
    </w:p>
    <w:p w14:paraId="334DE87C"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(f) Federal evaluators. </w:t>
      </w:r>
    </w:p>
    <w:p w14:paraId="4EDCB456"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A </w:t>
      </w:r>
      <w:hyperlink r:id="rId203"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fully cooperate with the Secretary, the Secretary of the Treasury, as applicable, or an independent evaluator selected by the Secretary or the Secretary of the Treasury, as applicable, to undertake an independent evaluation of any component of a section 1332 waiver. </w:t>
      </w:r>
    </w:p>
    <w:p w14:paraId="03FF388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As part of this required cooperation, a </w:t>
      </w:r>
      <w:hyperlink r:id="rId204"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submit all requested data and information to the Secretary, the Secretary of the Treasury, as applicable, or the independent evaluator. </w:t>
      </w:r>
    </w:p>
    <w:p w14:paraId="7128ABD2"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w:t>
      </w:r>
      <w:hyperlink r:id="rId205" w:history="1">
        <w:r w:rsidRPr="00CD086C">
          <w:rPr>
            <w:rFonts w:ascii="Times New Roman" w:eastAsia="Times New Roman" w:hAnsi="Times New Roman" w:cs="Times New Roman"/>
            <w:color w:val="0000FF"/>
            <w:sz w:val="24"/>
            <w:szCs w:val="24"/>
          </w:rPr>
          <w:t>77 FR 11718</w:t>
        </w:r>
      </w:hyperlink>
      <w:r w:rsidRPr="00CD086C">
        <w:rPr>
          <w:rFonts w:ascii="Times New Roman" w:eastAsia="Times New Roman" w:hAnsi="Times New Roman" w:cs="Times New Roman"/>
          <w:sz w:val="24"/>
          <w:szCs w:val="24"/>
        </w:rPr>
        <w:t xml:space="preserve">, Feb. 27, 2012, as amended at </w:t>
      </w:r>
      <w:hyperlink r:id="rId206" w:history="1">
        <w:r w:rsidRPr="00CD086C">
          <w:rPr>
            <w:rFonts w:ascii="Times New Roman" w:eastAsia="Times New Roman" w:hAnsi="Times New Roman" w:cs="Times New Roman"/>
            <w:color w:val="0000FF"/>
            <w:sz w:val="24"/>
            <w:szCs w:val="24"/>
          </w:rPr>
          <w:t>85 FR 71203</w:t>
        </w:r>
      </w:hyperlink>
      <w:r w:rsidRPr="00CD086C">
        <w:rPr>
          <w:rFonts w:ascii="Times New Roman" w:eastAsia="Times New Roman" w:hAnsi="Times New Roman" w:cs="Times New Roman"/>
          <w:sz w:val="24"/>
          <w:szCs w:val="24"/>
        </w:rPr>
        <w:t xml:space="preserve">, Nov. 6, 2020] </w:t>
      </w:r>
    </w:p>
    <w:p w14:paraId="0987F022" w14:textId="40547F24" w:rsidR="00CD086C" w:rsidRPr="009E7861" w:rsidRDefault="00CD086C"/>
    <w:p w14:paraId="01A4EDAD"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 155.1324 </w:t>
      </w:r>
      <w:hyperlink r:id="rId20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reporting requirements.</w:t>
      </w:r>
    </w:p>
    <w:p w14:paraId="2F3EAC4A"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Quarterly reports. A </w:t>
      </w:r>
      <w:hyperlink r:id="rId20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submit quarterly reports to the Secretary in accordance with the terms and </w:t>
      </w:r>
      <w:hyperlink r:id="rId209" w:history="1">
        <w:r w:rsidRPr="00CD086C">
          <w:rPr>
            <w:rFonts w:ascii="Times New Roman" w:eastAsia="Times New Roman" w:hAnsi="Times New Roman" w:cs="Times New Roman"/>
            <w:color w:val="0000FF"/>
            <w:sz w:val="24"/>
            <w:szCs w:val="24"/>
          </w:rPr>
          <w:t>conditions</w:t>
        </w:r>
      </w:hyperlink>
      <w:r w:rsidRPr="00CD086C">
        <w:rPr>
          <w:rFonts w:ascii="Times New Roman" w:eastAsia="Times New Roman" w:hAnsi="Times New Roman" w:cs="Times New Roman"/>
          <w:sz w:val="24"/>
          <w:szCs w:val="24"/>
        </w:rPr>
        <w:t xml:space="preserve"> of the </w:t>
      </w:r>
      <w:hyperlink r:id="rId210"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section 1332 waiver. These quarterly reports must include, but are not limited to, reports of any ongoing operational challenges and </w:t>
      </w:r>
      <w:hyperlink r:id="rId211" w:history="1">
        <w:r w:rsidRPr="00CD086C">
          <w:rPr>
            <w:rFonts w:ascii="Times New Roman" w:eastAsia="Times New Roman" w:hAnsi="Times New Roman" w:cs="Times New Roman"/>
            <w:color w:val="0000FF"/>
            <w:sz w:val="24"/>
            <w:szCs w:val="24"/>
          </w:rPr>
          <w:t>plans</w:t>
        </w:r>
      </w:hyperlink>
      <w:r w:rsidRPr="00CD086C">
        <w:rPr>
          <w:rFonts w:ascii="Times New Roman" w:eastAsia="Times New Roman" w:hAnsi="Times New Roman" w:cs="Times New Roman"/>
          <w:sz w:val="24"/>
          <w:szCs w:val="24"/>
        </w:rPr>
        <w:t xml:space="preserve"> for and results of associated corrective actions. </w:t>
      </w:r>
    </w:p>
    <w:p w14:paraId="12644D5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Annual reports. A </w:t>
      </w:r>
      <w:hyperlink r:id="rId212"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submit an annual report to the Secretary documenting all of the following: </w:t>
      </w:r>
    </w:p>
    <w:p w14:paraId="2CF76892"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The progress of the section 1332 waiver. </w:t>
      </w:r>
    </w:p>
    <w:p w14:paraId="2A736B17"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Data on compliance with section 1332(b)(1)(A) through (D) of the </w:t>
      </w:r>
      <w:hyperlink r:id="rId213" w:history="1">
        <w:r w:rsidRPr="00CD086C">
          <w:rPr>
            <w:rFonts w:ascii="Times New Roman" w:eastAsia="Times New Roman" w:hAnsi="Times New Roman" w:cs="Times New Roman"/>
            <w:color w:val="0000FF"/>
            <w:sz w:val="24"/>
            <w:szCs w:val="24"/>
          </w:rPr>
          <w:t>Affordable Care Act</w:t>
        </w:r>
      </w:hyperlink>
      <w:r w:rsidRPr="00CD086C">
        <w:rPr>
          <w:rFonts w:ascii="Times New Roman" w:eastAsia="Times New Roman" w:hAnsi="Times New Roman" w:cs="Times New Roman"/>
          <w:sz w:val="24"/>
          <w:szCs w:val="24"/>
        </w:rPr>
        <w:t xml:space="preserve">. </w:t>
      </w:r>
    </w:p>
    <w:p w14:paraId="28E01C79"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(3) A summary of the annual post-award public forum, held in accordance with </w:t>
      </w:r>
      <w:hyperlink r:id="rId214" w:anchor="c" w:history="1">
        <w:r w:rsidRPr="00CD086C">
          <w:rPr>
            <w:rFonts w:ascii="Times New Roman" w:eastAsia="Times New Roman" w:hAnsi="Times New Roman" w:cs="Times New Roman"/>
            <w:color w:val="0000FF"/>
            <w:sz w:val="24"/>
            <w:szCs w:val="24"/>
          </w:rPr>
          <w:t>§ 155.1320(c)</w:t>
        </w:r>
      </w:hyperlink>
      <w:r w:rsidRPr="00CD086C">
        <w:rPr>
          <w:rFonts w:ascii="Times New Roman" w:eastAsia="Times New Roman" w:hAnsi="Times New Roman" w:cs="Times New Roman"/>
          <w:sz w:val="24"/>
          <w:szCs w:val="24"/>
        </w:rPr>
        <w:t xml:space="preserve">, including all public comments received at such forum regarding the progress of the section 1332 waiver and action taken in response to such concerns or comments. </w:t>
      </w:r>
    </w:p>
    <w:p w14:paraId="38B11840"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(4) Other information consistent with the </w:t>
      </w:r>
      <w:hyperlink r:id="rId215"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approved terms and conditions. </w:t>
      </w:r>
    </w:p>
    <w:p w14:paraId="7CFC199D"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(c) Submitting and publishing annual reports. A </w:t>
      </w:r>
      <w:hyperlink r:id="rId216"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submit a draft annual report to the Secretary no later than 90 days after the end of each waiver year, or as specified in the waiver's terms and conditions. </w:t>
      </w:r>
    </w:p>
    <w:p w14:paraId="6E6F93C5"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(1) Within 60 days of receipt of comments from the Secretary, a </w:t>
      </w:r>
      <w:hyperlink r:id="rId217"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must submit to the Secretary the final annual report for the waiver year. </w:t>
      </w:r>
    </w:p>
    <w:p w14:paraId="4984D09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(2) The draft and final annual reports are to be published on a </w:t>
      </w:r>
      <w:hyperlink r:id="rId218"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's public web site within 30 days of submission to and approval by the Secretary, respectively. </w:t>
      </w:r>
    </w:p>
    <w:p w14:paraId="17D74D4C" w14:textId="77777777" w:rsidR="00CD086C" w:rsidRPr="00CD086C" w:rsidRDefault="00CD086C" w:rsidP="00CD086C">
      <w:pPr>
        <w:spacing w:after="0"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lastRenderedPageBreak/>
        <w:t>§ 155.1328 Periodic evaluation requirements.</w:t>
      </w:r>
    </w:p>
    <w:p w14:paraId="39BD103C" w14:textId="3ADB9440"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(a) The Secretary and the Secretary of the Treasury, as applicable, shall periodically evaluate the implementation of a </w:t>
      </w:r>
      <w:hyperlink r:id="rId219" w:history="1">
        <w:r w:rsidRPr="00CD086C">
          <w:rPr>
            <w:rFonts w:ascii="Times New Roman" w:eastAsia="Times New Roman" w:hAnsi="Times New Roman" w:cs="Times New Roman"/>
            <w:color w:val="0000FF"/>
            <w:sz w:val="24"/>
            <w:szCs w:val="24"/>
          </w:rPr>
          <w:t>program</w:t>
        </w:r>
      </w:hyperlink>
      <w:r w:rsidRPr="00CD086C">
        <w:rPr>
          <w:rFonts w:ascii="Times New Roman" w:eastAsia="Times New Roman" w:hAnsi="Times New Roman" w:cs="Times New Roman"/>
          <w:sz w:val="24"/>
          <w:szCs w:val="24"/>
        </w:rPr>
        <w:t xml:space="preserve"> under a section 1332 waiver consistent with </w:t>
      </w:r>
      <w:r w:rsidR="009E7861" w:rsidRPr="009E7861">
        <w:rPr>
          <w:rFonts w:ascii="TimesNewRomanPSMT" w:hAnsi="TimesNewRomanPSMT" w:cs="TimesNewRomanPSMT"/>
          <w:color w:val="FF0000"/>
          <w:sz w:val="24"/>
          <w:szCs w:val="24"/>
        </w:rPr>
        <w:t>§ 155.1308(f)(3)(iv) and</w:t>
      </w:r>
      <w:r w:rsidR="009E7861" w:rsidRPr="009E7861">
        <w:rPr>
          <w:rFonts w:ascii="Times New Roman" w:eastAsia="Times New Roman" w:hAnsi="Times New Roman" w:cs="Times New Roman"/>
          <w:color w:val="FF0000"/>
          <w:sz w:val="24"/>
          <w:szCs w:val="24"/>
        </w:rPr>
        <w:t xml:space="preserve"> interpretive </w:t>
      </w:r>
      <w:r w:rsidRPr="00CD086C">
        <w:rPr>
          <w:rFonts w:ascii="Times New Roman" w:eastAsia="Times New Roman" w:hAnsi="Times New Roman" w:cs="Times New Roman"/>
          <w:color w:val="FF0000"/>
          <w:sz w:val="24"/>
          <w:szCs w:val="24"/>
        </w:rPr>
        <w:t>guidance</w:t>
      </w:r>
      <w:r w:rsidRPr="00CD086C">
        <w:rPr>
          <w:rFonts w:ascii="Times New Roman" w:eastAsia="Times New Roman" w:hAnsi="Times New Roman" w:cs="Times New Roman"/>
          <w:sz w:val="24"/>
          <w:szCs w:val="24"/>
        </w:rPr>
        <w:t xml:space="preserve"> published by the Secretary and the Secretary of the Treasury, as applicable, and any terms and </w:t>
      </w:r>
      <w:hyperlink r:id="rId220" w:history="1">
        <w:r w:rsidRPr="00CD086C">
          <w:rPr>
            <w:rFonts w:ascii="Times New Roman" w:eastAsia="Times New Roman" w:hAnsi="Times New Roman" w:cs="Times New Roman"/>
            <w:color w:val="0000FF"/>
            <w:sz w:val="24"/>
            <w:szCs w:val="24"/>
          </w:rPr>
          <w:t>conditions</w:t>
        </w:r>
      </w:hyperlink>
      <w:r w:rsidRPr="00CD086C">
        <w:rPr>
          <w:rFonts w:ascii="Times New Roman" w:eastAsia="Times New Roman" w:hAnsi="Times New Roman" w:cs="Times New Roman"/>
          <w:sz w:val="24"/>
          <w:szCs w:val="24"/>
        </w:rPr>
        <w:t xml:space="preserve"> governing the section 1332 waiver. </w:t>
      </w:r>
    </w:p>
    <w:p w14:paraId="2524AD68" w14:textId="77777777" w:rsidR="00CD086C" w:rsidRPr="00CD086C" w:rsidRDefault="00CD086C" w:rsidP="00CD086C">
      <w:pPr>
        <w:spacing w:before="100" w:beforeAutospacing="1" w:after="100" w:afterAutospacing="1" w:line="240" w:lineRule="auto"/>
        <w:rPr>
          <w:rFonts w:ascii="Times New Roman" w:eastAsia="Times New Roman" w:hAnsi="Times New Roman" w:cs="Times New Roman"/>
          <w:sz w:val="24"/>
          <w:szCs w:val="24"/>
        </w:rPr>
      </w:pPr>
      <w:r w:rsidRPr="00CD086C">
        <w:rPr>
          <w:rFonts w:ascii="Times New Roman" w:eastAsia="Times New Roman" w:hAnsi="Times New Roman" w:cs="Times New Roman"/>
          <w:sz w:val="24"/>
          <w:szCs w:val="24"/>
        </w:rPr>
        <w:t xml:space="preserve">(b) Each periodic evaluation must include a review of the annual report or reports submitted by the </w:t>
      </w:r>
      <w:hyperlink r:id="rId221" w:history="1">
        <w:r w:rsidRPr="00CD086C">
          <w:rPr>
            <w:rFonts w:ascii="Times New Roman" w:eastAsia="Times New Roman" w:hAnsi="Times New Roman" w:cs="Times New Roman"/>
            <w:color w:val="0000FF"/>
            <w:sz w:val="24"/>
            <w:szCs w:val="24"/>
          </w:rPr>
          <w:t>State</w:t>
        </w:r>
      </w:hyperlink>
      <w:r w:rsidRPr="00CD086C">
        <w:rPr>
          <w:rFonts w:ascii="Times New Roman" w:eastAsia="Times New Roman" w:hAnsi="Times New Roman" w:cs="Times New Roman"/>
          <w:sz w:val="24"/>
          <w:szCs w:val="24"/>
        </w:rPr>
        <w:t xml:space="preserve"> in accordance with </w:t>
      </w:r>
      <w:hyperlink r:id="rId222" w:history="1">
        <w:r w:rsidRPr="00CD086C">
          <w:rPr>
            <w:rFonts w:ascii="Times New Roman" w:eastAsia="Times New Roman" w:hAnsi="Times New Roman" w:cs="Times New Roman"/>
            <w:color w:val="0000FF"/>
            <w:sz w:val="24"/>
            <w:szCs w:val="24"/>
          </w:rPr>
          <w:t>§ 155.1324</w:t>
        </w:r>
      </w:hyperlink>
      <w:r w:rsidRPr="00CD086C">
        <w:rPr>
          <w:rFonts w:ascii="Times New Roman" w:eastAsia="Times New Roman" w:hAnsi="Times New Roman" w:cs="Times New Roman"/>
          <w:sz w:val="24"/>
          <w:szCs w:val="24"/>
        </w:rPr>
        <w:t xml:space="preserve"> that relate to the period of time covered by the evaluation. </w:t>
      </w:r>
    </w:p>
    <w:p w14:paraId="049E58A1" w14:textId="77777777" w:rsidR="00CD086C" w:rsidRPr="009E7861" w:rsidRDefault="00CD086C"/>
    <w:sectPr w:rsidR="00CD086C" w:rsidRPr="009E78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623936"/>
    <w:multiLevelType w:val="hybridMultilevel"/>
    <w:tmpl w:val="FF0CFD48"/>
    <w:lvl w:ilvl="0" w:tplc="42369B58">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86C"/>
    <w:rsid w:val="009E7861"/>
    <w:rsid w:val="00A2042E"/>
    <w:rsid w:val="00C34D43"/>
    <w:rsid w:val="00CD086C"/>
    <w:rsid w:val="00F95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2601C"/>
  <w15:chartTrackingRefBased/>
  <w15:docId w15:val="{DD9A3FAA-D166-4D0C-8501-EE86BC8A7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section-1">
    <w:name w:val="psection-1"/>
    <w:basedOn w:val="Normal"/>
    <w:rsid w:val="00CD08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umxml">
    <w:name w:val="enumxml"/>
    <w:basedOn w:val="DefaultParagraphFont"/>
    <w:rsid w:val="00CD086C"/>
  </w:style>
  <w:style w:type="character" w:customStyle="1" w:styleId="et03">
    <w:name w:val="et03"/>
    <w:basedOn w:val="DefaultParagraphFont"/>
    <w:rsid w:val="00CD086C"/>
  </w:style>
  <w:style w:type="character" w:styleId="Hyperlink">
    <w:name w:val="Hyperlink"/>
    <w:basedOn w:val="DefaultParagraphFont"/>
    <w:uiPriority w:val="99"/>
    <w:semiHidden/>
    <w:unhideWhenUsed/>
    <w:rsid w:val="00CD086C"/>
    <w:rPr>
      <w:color w:val="0000FF"/>
      <w:u w:val="single"/>
    </w:rPr>
  </w:style>
  <w:style w:type="paragraph" w:customStyle="1" w:styleId="psection-2">
    <w:name w:val="psection-2"/>
    <w:basedOn w:val="Normal"/>
    <w:rsid w:val="00CD08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section-3">
    <w:name w:val="psection-3"/>
    <w:basedOn w:val="Normal"/>
    <w:rsid w:val="00CD086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D08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section-4">
    <w:name w:val="psection-4"/>
    <w:basedOn w:val="Normal"/>
    <w:rsid w:val="00CD086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78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813724">
      <w:bodyDiv w:val="1"/>
      <w:marLeft w:val="0"/>
      <w:marRight w:val="0"/>
      <w:marTop w:val="0"/>
      <w:marBottom w:val="0"/>
      <w:divBdr>
        <w:top w:val="none" w:sz="0" w:space="0" w:color="auto"/>
        <w:left w:val="none" w:sz="0" w:space="0" w:color="auto"/>
        <w:bottom w:val="none" w:sz="0" w:space="0" w:color="auto"/>
        <w:right w:val="none" w:sz="0" w:space="0" w:color="auto"/>
      </w:divBdr>
      <w:divsChild>
        <w:div w:id="234239443">
          <w:marLeft w:val="0"/>
          <w:marRight w:val="0"/>
          <w:marTop w:val="0"/>
          <w:marBottom w:val="0"/>
          <w:divBdr>
            <w:top w:val="none" w:sz="0" w:space="0" w:color="auto"/>
            <w:left w:val="none" w:sz="0" w:space="0" w:color="auto"/>
            <w:bottom w:val="none" w:sz="0" w:space="0" w:color="auto"/>
            <w:right w:val="none" w:sz="0" w:space="0" w:color="auto"/>
          </w:divBdr>
          <w:divsChild>
            <w:div w:id="1647125750">
              <w:marLeft w:val="0"/>
              <w:marRight w:val="0"/>
              <w:marTop w:val="0"/>
              <w:marBottom w:val="0"/>
              <w:divBdr>
                <w:top w:val="none" w:sz="0" w:space="0" w:color="auto"/>
                <w:left w:val="none" w:sz="0" w:space="0" w:color="auto"/>
                <w:bottom w:val="none" w:sz="0" w:space="0" w:color="auto"/>
                <w:right w:val="none" w:sz="0" w:space="0" w:color="auto"/>
              </w:divBdr>
              <w:divsChild>
                <w:div w:id="1045907228">
                  <w:marLeft w:val="0"/>
                  <w:marRight w:val="0"/>
                  <w:marTop w:val="0"/>
                  <w:marBottom w:val="0"/>
                  <w:divBdr>
                    <w:top w:val="none" w:sz="0" w:space="0" w:color="auto"/>
                    <w:left w:val="none" w:sz="0" w:space="0" w:color="auto"/>
                    <w:bottom w:val="none" w:sz="0" w:space="0" w:color="auto"/>
                    <w:right w:val="none" w:sz="0" w:space="0" w:color="auto"/>
                  </w:divBdr>
                </w:div>
                <w:div w:id="32532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58193">
      <w:bodyDiv w:val="1"/>
      <w:marLeft w:val="0"/>
      <w:marRight w:val="0"/>
      <w:marTop w:val="0"/>
      <w:marBottom w:val="0"/>
      <w:divBdr>
        <w:top w:val="none" w:sz="0" w:space="0" w:color="auto"/>
        <w:left w:val="none" w:sz="0" w:space="0" w:color="auto"/>
        <w:bottom w:val="none" w:sz="0" w:space="0" w:color="auto"/>
        <w:right w:val="none" w:sz="0" w:space="0" w:color="auto"/>
      </w:divBdr>
      <w:divsChild>
        <w:div w:id="309788806">
          <w:marLeft w:val="0"/>
          <w:marRight w:val="0"/>
          <w:marTop w:val="0"/>
          <w:marBottom w:val="0"/>
          <w:divBdr>
            <w:top w:val="none" w:sz="0" w:space="0" w:color="auto"/>
            <w:left w:val="none" w:sz="0" w:space="0" w:color="auto"/>
            <w:bottom w:val="none" w:sz="0" w:space="0" w:color="auto"/>
            <w:right w:val="none" w:sz="0" w:space="0" w:color="auto"/>
          </w:divBdr>
          <w:divsChild>
            <w:div w:id="782260851">
              <w:marLeft w:val="0"/>
              <w:marRight w:val="0"/>
              <w:marTop w:val="0"/>
              <w:marBottom w:val="0"/>
              <w:divBdr>
                <w:top w:val="none" w:sz="0" w:space="0" w:color="auto"/>
                <w:left w:val="none" w:sz="0" w:space="0" w:color="auto"/>
                <w:bottom w:val="none" w:sz="0" w:space="0" w:color="auto"/>
                <w:right w:val="none" w:sz="0" w:space="0" w:color="auto"/>
              </w:divBdr>
              <w:divsChild>
                <w:div w:id="39107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99619">
      <w:bodyDiv w:val="1"/>
      <w:marLeft w:val="0"/>
      <w:marRight w:val="0"/>
      <w:marTop w:val="0"/>
      <w:marBottom w:val="0"/>
      <w:divBdr>
        <w:top w:val="none" w:sz="0" w:space="0" w:color="auto"/>
        <w:left w:val="none" w:sz="0" w:space="0" w:color="auto"/>
        <w:bottom w:val="none" w:sz="0" w:space="0" w:color="auto"/>
        <w:right w:val="none" w:sz="0" w:space="0" w:color="auto"/>
      </w:divBdr>
      <w:divsChild>
        <w:div w:id="1308707085">
          <w:marLeft w:val="0"/>
          <w:marRight w:val="0"/>
          <w:marTop w:val="0"/>
          <w:marBottom w:val="0"/>
          <w:divBdr>
            <w:top w:val="none" w:sz="0" w:space="0" w:color="auto"/>
            <w:left w:val="none" w:sz="0" w:space="0" w:color="auto"/>
            <w:bottom w:val="none" w:sz="0" w:space="0" w:color="auto"/>
            <w:right w:val="none" w:sz="0" w:space="0" w:color="auto"/>
          </w:divBdr>
          <w:divsChild>
            <w:div w:id="472795176">
              <w:marLeft w:val="0"/>
              <w:marRight w:val="0"/>
              <w:marTop w:val="0"/>
              <w:marBottom w:val="0"/>
              <w:divBdr>
                <w:top w:val="none" w:sz="0" w:space="0" w:color="auto"/>
                <w:left w:val="none" w:sz="0" w:space="0" w:color="auto"/>
                <w:bottom w:val="none" w:sz="0" w:space="0" w:color="auto"/>
                <w:right w:val="none" w:sz="0" w:space="0" w:color="auto"/>
              </w:divBdr>
              <w:divsChild>
                <w:div w:id="146974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712372">
      <w:bodyDiv w:val="1"/>
      <w:marLeft w:val="0"/>
      <w:marRight w:val="0"/>
      <w:marTop w:val="0"/>
      <w:marBottom w:val="0"/>
      <w:divBdr>
        <w:top w:val="none" w:sz="0" w:space="0" w:color="auto"/>
        <w:left w:val="none" w:sz="0" w:space="0" w:color="auto"/>
        <w:bottom w:val="none" w:sz="0" w:space="0" w:color="auto"/>
        <w:right w:val="none" w:sz="0" w:space="0" w:color="auto"/>
      </w:divBdr>
      <w:divsChild>
        <w:div w:id="1477257976">
          <w:marLeft w:val="0"/>
          <w:marRight w:val="0"/>
          <w:marTop w:val="0"/>
          <w:marBottom w:val="0"/>
          <w:divBdr>
            <w:top w:val="none" w:sz="0" w:space="0" w:color="auto"/>
            <w:left w:val="none" w:sz="0" w:space="0" w:color="auto"/>
            <w:bottom w:val="none" w:sz="0" w:space="0" w:color="auto"/>
            <w:right w:val="none" w:sz="0" w:space="0" w:color="auto"/>
          </w:divBdr>
          <w:divsChild>
            <w:div w:id="454448099">
              <w:marLeft w:val="0"/>
              <w:marRight w:val="0"/>
              <w:marTop w:val="0"/>
              <w:marBottom w:val="0"/>
              <w:divBdr>
                <w:top w:val="none" w:sz="0" w:space="0" w:color="auto"/>
                <w:left w:val="none" w:sz="0" w:space="0" w:color="auto"/>
                <w:bottom w:val="none" w:sz="0" w:space="0" w:color="auto"/>
                <w:right w:val="none" w:sz="0" w:space="0" w:color="auto"/>
              </w:divBdr>
              <w:divsChild>
                <w:div w:id="123300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000326">
      <w:bodyDiv w:val="1"/>
      <w:marLeft w:val="0"/>
      <w:marRight w:val="0"/>
      <w:marTop w:val="0"/>
      <w:marBottom w:val="0"/>
      <w:divBdr>
        <w:top w:val="none" w:sz="0" w:space="0" w:color="auto"/>
        <w:left w:val="none" w:sz="0" w:space="0" w:color="auto"/>
        <w:bottom w:val="none" w:sz="0" w:space="0" w:color="auto"/>
        <w:right w:val="none" w:sz="0" w:space="0" w:color="auto"/>
      </w:divBdr>
      <w:divsChild>
        <w:div w:id="2144545032">
          <w:marLeft w:val="0"/>
          <w:marRight w:val="0"/>
          <w:marTop w:val="0"/>
          <w:marBottom w:val="0"/>
          <w:divBdr>
            <w:top w:val="none" w:sz="0" w:space="0" w:color="auto"/>
            <w:left w:val="none" w:sz="0" w:space="0" w:color="auto"/>
            <w:bottom w:val="none" w:sz="0" w:space="0" w:color="auto"/>
            <w:right w:val="none" w:sz="0" w:space="0" w:color="auto"/>
          </w:divBdr>
          <w:divsChild>
            <w:div w:id="1886018830">
              <w:marLeft w:val="0"/>
              <w:marRight w:val="0"/>
              <w:marTop w:val="0"/>
              <w:marBottom w:val="0"/>
              <w:divBdr>
                <w:top w:val="none" w:sz="0" w:space="0" w:color="auto"/>
                <w:left w:val="none" w:sz="0" w:space="0" w:color="auto"/>
                <w:bottom w:val="none" w:sz="0" w:space="0" w:color="auto"/>
                <w:right w:val="none" w:sz="0" w:space="0" w:color="auto"/>
              </w:divBdr>
              <w:divsChild>
                <w:div w:id="2126845802">
                  <w:marLeft w:val="0"/>
                  <w:marRight w:val="0"/>
                  <w:marTop w:val="0"/>
                  <w:marBottom w:val="0"/>
                  <w:divBdr>
                    <w:top w:val="none" w:sz="0" w:space="0" w:color="auto"/>
                    <w:left w:val="none" w:sz="0" w:space="0" w:color="auto"/>
                    <w:bottom w:val="none" w:sz="0" w:space="0" w:color="auto"/>
                    <w:right w:val="none" w:sz="0" w:space="0" w:color="auto"/>
                  </w:divBdr>
                </w:div>
                <w:div w:id="121577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735048">
      <w:bodyDiv w:val="1"/>
      <w:marLeft w:val="0"/>
      <w:marRight w:val="0"/>
      <w:marTop w:val="0"/>
      <w:marBottom w:val="0"/>
      <w:divBdr>
        <w:top w:val="none" w:sz="0" w:space="0" w:color="auto"/>
        <w:left w:val="none" w:sz="0" w:space="0" w:color="auto"/>
        <w:bottom w:val="none" w:sz="0" w:space="0" w:color="auto"/>
        <w:right w:val="none" w:sz="0" w:space="0" w:color="auto"/>
      </w:divBdr>
      <w:divsChild>
        <w:div w:id="493422116">
          <w:marLeft w:val="0"/>
          <w:marRight w:val="0"/>
          <w:marTop w:val="0"/>
          <w:marBottom w:val="0"/>
          <w:divBdr>
            <w:top w:val="none" w:sz="0" w:space="0" w:color="auto"/>
            <w:left w:val="none" w:sz="0" w:space="0" w:color="auto"/>
            <w:bottom w:val="none" w:sz="0" w:space="0" w:color="auto"/>
            <w:right w:val="none" w:sz="0" w:space="0" w:color="auto"/>
          </w:divBdr>
          <w:divsChild>
            <w:div w:id="49038532">
              <w:marLeft w:val="0"/>
              <w:marRight w:val="0"/>
              <w:marTop w:val="0"/>
              <w:marBottom w:val="0"/>
              <w:divBdr>
                <w:top w:val="none" w:sz="0" w:space="0" w:color="auto"/>
                <w:left w:val="none" w:sz="0" w:space="0" w:color="auto"/>
                <w:bottom w:val="none" w:sz="0" w:space="0" w:color="auto"/>
                <w:right w:val="none" w:sz="0" w:space="0" w:color="auto"/>
              </w:divBdr>
              <w:divsChild>
                <w:div w:id="115029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775767">
      <w:bodyDiv w:val="1"/>
      <w:marLeft w:val="0"/>
      <w:marRight w:val="0"/>
      <w:marTop w:val="0"/>
      <w:marBottom w:val="0"/>
      <w:divBdr>
        <w:top w:val="none" w:sz="0" w:space="0" w:color="auto"/>
        <w:left w:val="none" w:sz="0" w:space="0" w:color="auto"/>
        <w:bottom w:val="none" w:sz="0" w:space="0" w:color="auto"/>
        <w:right w:val="none" w:sz="0" w:space="0" w:color="auto"/>
      </w:divBdr>
      <w:divsChild>
        <w:div w:id="867793940">
          <w:marLeft w:val="0"/>
          <w:marRight w:val="0"/>
          <w:marTop w:val="0"/>
          <w:marBottom w:val="0"/>
          <w:divBdr>
            <w:top w:val="none" w:sz="0" w:space="0" w:color="auto"/>
            <w:left w:val="none" w:sz="0" w:space="0" w:color="auto"/>
            <w:bottom w:val="none" w:sz="0" w:space="0" w:color="auto"/>
            <w:right w:val="none" w:sz="0" w:space="0" w:color="auto"/>
          </w:divBdr>
          <w:divsChild>
            <w:div w:id="315958910">
              <w:marLeft w:val="0"/>
              <w:marRight w:val="0"/>
              <w:marTop w:val="0"/>
              <w:marBottom w:val="0"/>
              <w:divBdr>
                <w:top w:val="none" w:sz="0" w:space="0" w:color="auto"/>
                <w:left w:val="none" w:sz="0" w:space="0" w:color="auto"/>
                <w:bottom w:val="none" w:sz="0" w:space="0" w:color="auto"/>
                <w:right w:val="none" w:sz="0" w:space="0" w:color="auto"/>
              </w:divBdr>
              <w:divsChild>
                <w:div w:id="195914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513727">
      <w:bodyDiv w:val="1"/>
      <w:marLeft w:val="0"/>
      <w:marRight w:val="0"/>
      <w:marTop w:val="0"/>
      <w:marBottom w:val="0"/>
      <w:divBdr>
        <w:top w:val="none" w:sz="0" w:space="0" w:color="auto"/>
        <w:left w:val="none" w:sz="0" w:space="0" w:color="auto"/>
        <w:bottom w:val="none" w:sz="0" w:space="0" w:color="auto"/>
        <w:right w:val="none" w:sz="0" w:space="0" w:color="auto"/>
      </w:divBdr>
      <w:divsChild>
        <w:div w:id="1566986644">
          <w:marLeft w:val="0"/>
          <w:marRight w:val="0"/>
          <w:marTop w:val="0"/>
          <w:marBottom w:val="0"/>
          <w:divBdr>
            <w:top w:val="none" w:sz="0" w:space="0" w:color="auto"/>
            <w:left w:val="none" w:sz="0" w:space="0" w:color="auto"/>
            <w:bottom w:val="none" w:sz="0" w:space="0" w:color="auto"/>
            <w:right w:val="none" w:sz="0" w:space="0" w:color="auto"/>
          </w:divBdr>
          <w:divsChild>
            <w:div w:id="718481410">
              <w:marLeft w:val="0"/>
              <w:marRight w:val="0"/>
              <w:marTop w:val="0"/>
              <w:marBottom w:val="0"/>
              <w:divBdr>
                <w:top w:val="none" w:sz="0" w:space="0" w:color="auto"/>
                <w:left w:val="none" w:sz="0" w:space="0" w:color="auto"/>
                <w:bottom w:val="none" w:sz="0" w:space="0" w:color="auto"/>
                <w:right w:val="none" w:sz="0" w:space="0" w:color="auto"/>
              </w:divBdr>
              <w:divsChild>
                <w:div w:id="1551921705">
                  <w:marLeft w:val="0"/>
                  <w:marRight w:val="0"/>
                  <w:marTop w:val="0"/>
                  <w:marBottom w:val="0"/>
                  <w:divBdr>
                    <w:top w:val="none" w:sz="0" w:space="0" w:color="auto"/>
                    <w:left w:val="none" w:sz="0" w:space="0" w:color="auto"/>
                    <w:bottom w:val="none" w:sz="0" w:space="0" w:color="auto"/>
                    <w:right w:val="none" w:sz="0" w:space="0" w:color="auto"/>
                  </w:divBdr>
                  <w:divsChild>
                    <w:div w:id="1187719066">
                      <w:marLeft w:val="0"/>
                      <w:marRight w:val="0"/>
                      <w:marTop w:val="0"/>
                      <w:marBottom w:val="0"/>
                      <w:divBdr>
                        <w:top w:val="none" w:sz="0" w:space="0" w:color="auto"/>
                        <w:left w:val="none" w:sz="0" w:space="0" w:color="auto"/>
                        <w:bottom w:val="none" w:sz="0" w:space="0" w:color="auto"/>
                        <w:right w:val="none" w:sz="0" w:space="0" w:color="auto"/>
                      </w:divBdr>
                      <w:divsChild>
                        <w:div w:id="1317299272">
                          <w:marLeft w:val="0"/>
                          <w:marRight w:val="0"/>
                          <w:marTop w:val="0"/>
                          <w:marBottom w:val="0"/>
                          <w:divBdr>
                            <w:top w:val="none" w:sz="0" w:space="0" w:color="auto"/>
                            <w:left w:val="none" w:sz="0" w:space="0" w:color="auto"/>
                            <w:bottom w:val="none" w:sz="0" w:space="0" w:color="auto"/>
                            <w:right w:val="none" w:sz="0" w:space="0" w:color="auto"/>
                          </w:divBdr>
                          <w:divsChild>
                            <w:div w:id="1819490750">
                              <w:marLeft w:val="0"/>
                              <w:marRight w:val="0"/>
                              <w:marTop w:val="0"/>
                              <w:marBottom w:val="0"/>
                              <w:divBdr>
                                <w:top w:val="none" w:sz="0" w:space="0" w:color="auto"/>
                                <w:left w:val="none" w:sz="0" w:space="0" w:color="auto"/>
                                <w:bottom w:val="none" w:sz="0" w:space="0" w:color="auto"/>
                                <w:right w:val="none" w:sz="0" w:space="0" w:color="auto"/>
                              </w:divBdr>
                              <w:divsChild>
                                <w:div w:id="1935547977">
                                  <w:marLeft w:val="0"/>
                                  <w:marRight w:val="0"/>
                                  <w:marTop w:val="0"/>
                                  <w:marBottom w:val="0"/>
                                  <w:divBdr>
                                    <w:top w:val="none" w:sz="0" w:space="0" w:color="auto"/>
                                    <w:left w:val="none" w:sz="0" w:space="0" w:color="auto"/>
                                    <w:bottom w:val="none" w:sz="0" w:space="0" w:color="auto"/>
                                    <w:right w:val="none" w:sz="0" w:space="0" w:color="auto"/>
                                  </w:divBdr>
                                  <w:divsChild>
                                    <w:div w:id="1302418164">
                                      <w:marLeft w:val="0"/>
                                      <w:marRight w:val="0"/>
                                      <w:marTop w:val="0"/>
                                      <w:marBottom w:val="0"/>
                                      <w:divBdr>
                                        <w:top w:val="none" w:sz="0" w:space="0" w:color="auto"/>
                                        <w:left w:val="none" w:sz="0" w:space="0" w:color="auto"/>
                                        <w:bottom w:val="none" w:sz="0" w:space="0" w:color="auto"/>
                                        <w:right w:val="none" w:sz="0" w:space="0" w:color="auto"/>
                                      </w:divBdr>
                                      <w:divsChild>
                                        <w:div w:id="1184323799">
                                          <w:marLeft w:val="0"/>
                                          <w:marRight w:val="0"/>
                                          <w:marTop w:val="0"/>
                                          <w:marBottom w:val="0"/>
                                          <w:divBdr>
                                            <w:top w:val="none" w:sz="0" w:space="0" w:color="auto"/>
                                            <w:left w:val="none" w:sz="0" w:space="0" w:color="auto"/>
                                            <w:bottom w:val="none" w:sz="0" w:space="0" w:color="auto"/>
                                            <w:right w:val="none" w:sz="0" w:space="0" w:color="auto"/>
                                          </w:divBdr>
                                          <w:divsChild>
                                            <w:div w:id="74194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0227109">
      <w:bodyDiv w:val="1"/>
      <w:marLeft w:val="0"/>
      <w:marRight w:val="0"/>
      <w:marTop w:val="0"/>
      <w:marBottom w:val="0"/>
      <w:divBdr>
        <w:top w:val="none" w:sz="0" w:space="0" w:color="auto"/>
        <w:left w:val="none" w:sz="0" w:space="0" w:color="auto"/>
        <w:bottom w:val="none" w:sz="0" w:space="0" w:color="auto"/>
        <w:right w:val="none" w:sz="0" w:space="0" w:color="auto"/>
      </w:divBdr>
      <w:divsChild>
        <w:div w:id="358240661">
          <w:marLeft w:val="0"/>
          <w:marRight w:val="0"/>
          <w:marTop w:val="0"/>
          <w:marBottom w:val="0"/>
          <w:divBdr>
            <w:top w:val="none" w:sz="0" w:space="0" w:color="auto"/>
            <w:left w:val="none" w:sz="0" w:space="0" w:color="auto"/>
            <w:bottom w:val="none" w:sz="0" w:space="0" w:color="auto"/>
            <w:right w:val="none" w:sz="0" w:space="0" w:color="auto"/>
          </w:divBdr>
          <w:divsChild>
            <w:div w:id="506751167">
              <w:marLeft w:val="0"/>
              <w:marRight w:val="0"/>
              <w:marTop w:val="0"/>
              <w:marBottom w:val="0"/>
              <w:divBdr>
                <w:top w:val="none" w:sz="0" w:space="0" w:color="auto"/>
                <w:left w:val="none" w:sz="0" w:space="0" w:color="auto"/>
                <w:bottom w:val="none" w:sz="0" w:space="0" w:color="auto"/>
                <w:right w:val="none" w:sz="0" w:space="0" w:color="auto"/>
              </w:divBdr>
              <w:divsChild>
                <w:div w:id="4128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659379">
      <w:bodyDiv w:val="1"/>
      <w:marLeft w:val="0"/>
      <w:marRight w:val="0"/>
      <w:marTop w:val="0"/>
      <w:marBottom w:val="0"/>
      <w:divBdr>
        <w:top w:val="none" w:sz="0" w:space="0" w:color="auto"/>
        <w:left w:val="none" w:sz="0" w:space="0" w:color="auto"/>
        <w:bottom w:val="none" w:sz="0" w:space="0" w:color="auto"/>
        <w:right w:val="none" w:sz="0" w:space="0" w:color="auto"/>
      </w:divBdr>
      <w:divsChild>
        <w:div w:id="1930842300">
          <w:marLeft w:val="0"/>
          <w:marRight w:val="0"/>
          <w:marTop w:val="0"/>
          <w:marBottom w:val="0"/>
          <w:divBdr>
            <w:top w:val="none" w:sz="0" w:space="0" w:color="auto"/>
            <w:left w:val="none" w:sz="0" w:space="0" w:color="auto"/>
            <w:bottom w:val="none" w:sz="0" w:space="0" w:color="auto"/>
            <w:right w:val="none" w:sz="0" w:space="0" w:color="auto"/>
          </w:divBdr>
          <w:divsChild>
            <w:div w:id="1963345608">
              <w:marLeft w:val="0"/>
              <w:marRight w:val="0"/>
              <w:marTop w:val="0"/>
              <w:marBottom w:val="0"/>
              <w:divBdr>
                <w:top w:val="none" w:sz="0" w:space="0" w:color="auto"/>
                <w:left w:val="none" w:sz="0" w:space="0" w:color="auto"/>
                <w:bottom w:val="none" w:sz="0" w:space="0" w:color="auto"/>
                <w:right w:val="none" w:sz="0" w:space="0" w:color="auto"/>
              </w:divBdr>
              <w:divsChild>
                <w:div w:id="132358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21" Type="http://schemas.openxmlformats.org/officeDocument/2006/relationships/hyperlink" Target="https://www.law.cornell.edu/definitions/index.php?width=840&amp;height=800&amp;iframe=true&amp;def_id=1dabc8d1dcd88d8204dc7fa28a38a762&amp;term_occur=999&amp;term_src=Title:45:Chapter:A:Subchapter:B:Part:155:Subpart:N:155.1302" TargetMode="External"/><Relationship Id="rId42" Type="http://schemas.openxmlformats.org/officeDocument/2006/relationships/hyperlink" Target="https://www.law.cornell.edu/cfr/text/45/155.1312" TargetMode="External"/><Relationship Id="rId63"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84"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38"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59"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70"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1" Type="http://schemas.openxmlformats.org/officeDocument/2006/relationships/hyperlink" Target="https://www.law.cornell.edu/cfr/text/45/155.1320" TargetMode="External"/><Relationship Id="rId205" Type="http://schemas.openxmlformats.org/officeDocument/2006/relationships/hyperlink" Target="https://www.law.cornell.edu/rio/citation/77_FR_11718" TargetMode="External"/><Relationship Id="rId107"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1"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32"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53"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74" Type="http://schemas.openxmlformats.org/officeDocument/2006/relationships/hyperlink" Target="https://www.law.cornell.edu/definitions/index.php?width=840&amp;height=800&amp;iframe=true&amp;def_id=8cb1da61fe4207bff7613d72e6094944&amp;term_occur=999&amp;term_src=Title:45:Chapter:A:Subchapter:B:Part:155:Subpart:N:155.1308" TargetMode="External"/><Relationship Id="rId128"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49"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5" Type="http://schemas.openxmlformats.org/officeDocument/2006/relationships/hyperlink" Target="https://www.law.cornell.edu/definitions/index.php?width=840&amp;height=800&amp;iframe=true&amp;def_id=c4bb61552bcbc85475b181cdb8e4f03f&amp;term_occur=999&amp;term_src=Title:45:Chapter:A:Subchapter:B:Part:155:Subpart:N:155.1300" TargetMode="External"/><Relationship Id="rId95"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60" Type="http://schemas.openxmlformats.org/officeDocument/2006/relationships/hyperlink" Target="https://www.law.cornell.edu/rio/citation/85_FR_71202" TargetMode="External"/><Relationship Id="rId181"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16"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22" Type="http://schemas.openxmlformats.org/officeDocument/2006/relationships/hyperlink" Target="https://www.law.cornell.edu/definitions/index.php?width=840&amp;height=800&amp;iframe=true&amp;def_id=6e238b8c47e568dcb63810e47ff66d38&amp;term_occur=999&amp;term_src=Title:45:Chapter:A:Subchapter:B:Part:155:Subpart:N:155.1302" TargetMode="External"/><Relationship Id="rId43"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64"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18" Type="http://schemas.openxmlformats.org/officeDocument/2006/relationships/hyperlink" Target="https://www.law.cornell.edu/definitions/index.php?width=840&amp;height=800&amp;iframe=true&amp;def_id=c2c6e4a3f10e8205ab98ef206ddd9ed0&amp;term_occur=999&amp;term_src=Title:45:Chapter:A:Subchapter:B:Part:155:Subpart:N:155.1316" TargetMode="External"/><Relationship Id="rId139" Type="http://schemas.openxmlformats.org/officeDocument/2006/relationships/hyperlink" Target="https://www.law.cornell.edu/cfr/text/45/155.1318" TargetMode="External"/><Relationship Id="rId85"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50" Type="http://schemas.openxmlformats.org/officeDocument/2006/relationships/hyperlink" Target="https://www.law.cornell.edu/cfr/text/45/155.1318" TargetMode="External"/><Relationship Id="rId171"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2" Type="http://schemas.openxmlformats.org/officeDocument/2006/relationships/hyperlink" Target="https://www.law.cornell.edu/definitions/index.php?width=840&amp;height=800&amp;iframe=true&amp;def_id=27b04e95858fcdc7d36373b8db18848e&amp;term_occur=999&amp;term_src=Title:45:Chapter:A:Subchapter:B:Part:155:Subpart:N:155.1320" TargetMode="External"/><Relationship Id="rId206" Type="http://schemas.openxmlformats.org/officeDocument/2006/relationships/hyperlink" Target="https://www.law.cornell.edu/rio/citation/85_FR_71203" TargetMode="External"/><Relationship Id="rId12" Type="http://schemas.openxmlformats.org/officeDocument/2006/relationships/hyperlink" Target="https://www.law.cornell.edu/definitions/index.php?width=840&amp;height=800&amp;iframe=true&amp;def_id=27b04e95858fcdc7d36373b8db18848e&amp;term_occur=999&amp;term_src=Title:45:Chapter:A:Subchapter:B:Part:155:Subpart:N:155.1300" TargetMode="External"/><Relationship Id="rId33"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08"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29" Type="http://schemas.openxmlformats.org/officeDocument/2006/relationships/hyperlink" Target="https://www.law.cornell.edu/cfr/text/45/155.1312" TargetMode="External"/><Relationship Id="rId54"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75"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96"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40"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61"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2"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17"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6" Type="http://schemas.openxmlformats.org/officeDocument/2006/relationships/hyperlink" Target="https://www.law.cornell.edu/definitions/index.php?width=840&amp;height=800&amp;iframe=true&amp;def_id=27b04e95858fcdc7d36373b8db18848e&amp;term_occur=999&amp;term_src=Title:45:Chapter:A:Subchapter:B:Part:155:Subpart:N:155.1300" TargetMode="External"/><Relationship Id="rId23" Type="http://schemas.openxmlformats.org/officeDocument/2006/relationships/hyperlink" Target="https://www.law.cornell.edu/definitions/index.php?width=840&amp;height=800&amp;iframe=true&amp;def_id=e8dfa5131d72d125c158db4279935dab&amp;term_occur=999&amp;term_src=Title:45:Chapter:A:Subchapter:B:Part:155:Subpart:N:155.1302" TargetMode="External"/><Relationship Id="rId119" Type="http://schemas.openxmlformats.org/officeDocument/2006/relationships/hyperlink" Target="https://www.law.cornell.edu/definitions/index.php?width=840&amp;height=800&amp;iframe=true&amp;def_id=1dabc8d1dcd88d8204dc7fa28a38a762&amp;term_occur=999&amp;term_src=Title:45:Chapter:A:Subchapter:B:Part:155:Subpart:N:155.1316" TargetMode="External"/><Relationship Id="rId44" Type="http://schemas.openxmlformats.org/officeDocument/2006/relationships/hyperlink" Target="https://www.law.cornell.edu/definitions/index.php?width=840&amp;height=800&amp;iframe=true&amp;def_id=27b04e95858fcdc7d36373b8db18848e&amp;term_occur=999&amp;term_src=Title:45:Chapter:A:Subchapter:B:Part:155:Subpart:N:155.1308" TargetMode="External"/><Relationship Id="rId65" Type="http://schemas.openxmlformats.org/officeDocument/2006/relationships/hyperlink" Target="https://www.law.cornell.edu/definitions/index.php?width=840&amp;height=800&amp;iframe=true&amp;def_id=5f990684d5a271c8d2d6b0032024a526&amp;term_occur=999&amp;term_src=Title:45:Chapter:A:Subchapter:B:Part:155:Subpart:N:155.1308" TargetMode="External"/><Relationship Id="rId86"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30"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51"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72"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3"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7"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13"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109"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34"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55"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76"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97"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20" Type="http://schemas.openxmlformats.org/officeDocument/2006/relationships/hyperlink" Target="https://www.law.cornell.edu/definitions/index.php?width=840&amp;height=800&amp;iframe=true&amp;def_id=1dabc8d1dcd88d8204dc7fa28a38a762&amp;term_occur=999&amp;term_src=Title:45:Chapter:A:Subchapter:B:Part:155:Subpart:N:155.1316" TargetMode="External"/><Relationship Id="rId141"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7"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162"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3" Type="http://schemas.openxmlformats.org/officeDocument/2006/relationships/hyperlink" Target="https://www.law.cornell.edu/cfr/text/45/155.1320" TargetMode="External"/><Relationship Id="rId218"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24" Type="http://schemas.openxmlformats.org/officeDocument/2006/relationships/hyperlink" Target="https://www.law.cornell.edu/cfr/text/31/part-33" TargetMode="External"/><Relationship Id="rId45"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66"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87"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10" Type="http://schemas.openxmlformats.org/officeDocument/2006/relationships/hyperlink" Target="https://www.law.cornell.edu/cfr/text/45/155.1308" TargetMode="External"/><Relationship Id="rId131" Type="http://schemas.openxmlformats.org/officeDocument/2006/relationships/hyperlink" Target="https://www.law.cornell.edu/cfr/text/45/155.1316" TargetMode="External"/><Relationship Id="rId152"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73" Type="http://schemas.openxmlformats.org/officeDocument/2006/relationships/hyperlink" Target="https://www.law.cornell.edu/cfr/text/45/155.1324" TargetMode="External"/><Relationship Id="rId194"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8"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14"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35" Type="http://schemas.openxmlformats.org/officeDocument/2006/relationships/hyperlink" Target="https://www.law.cornell.edu/definitions/index.php?width=840&amp;height=800&amp;iframe=true&amp;def_id=27b04e95858fcdc7d36373b8db18848e&amp;term_occur=999&amp;term_src=Title:45:Chapter:A:Subchapter:B:Part:155:Subpart:N:155.1308" TargetMode="External"/><Relationship Id="rId56" Type="http://schemas.openxmlformats.org/officeDocument/2006/relationships/hyperlink" Target="https://www.law.cornell.edu/definitions/index.php?width=840&amp;height=800&amp;iframe=true&amp;def_id=a4c0f99772ca83fd45052946d8903152&amp;term_occur=999&amp;term_src=Title:45:Chapter:A:Subchapter:B:Part:155:Subpart:N:155.1308" TargetMode="External"/><Relationship Id="rId77" Type="http://schemas.openxmlformats.org/officeDocument/2006/relationships/hyperlink" Target="https://www.law.cornell.edu/definitions/index.php?width=840&amp;height=800&amp;iframe=true&amp;def_id=e08fd6de94a5021034075884a0616f71&amp;term_occur=999&amp;term_src=Title:45:Chapter:A:Subchapter:B:Part:155:Subpart:N:155.1308" TargetMode="External"/><Relationship Id="rId100"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8" Type="http://schemas.openxmlformats.org/officeDocument/2006/relationships/hyperlink" Target="https://www.law.cornell.edu/definitions/index.php?width=840&amp;height=800&amp;iframe=true&amp;def_id=395a03a1c484b7a92bccbe5563d46c25&amp;term_occur=999&amp;term_src=Title:45:Chapter:A:Subchapter:B:Part:155:Subpart:N:155.1300" TargetMode="External"/><Relationship Id="rId51"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72" Type="http://schemas.openxmlformats.org/officeDocument/2006/relationships/hyperlink" Target="https://www.law.cornell.edu/definitions/index.php?width=840&amp;height=800&amp;iframe=true&amp;def_id=2b74e43866fc5b8f1f15155c434c7c1d&amp;term_occur=999&amp;term_src=Title:45:Chapter:A:Subchapter:B:Part:155:Subpart:N:155.1308" TargetMode="External"/><Relationship Id="rId93"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98"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21"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142" Type="http://schemas.openxmlformats.org/officeDocument/2006/relationships/hyperlink" Target="https://www.law.cornell.edu/cfr/text/45/155.1318" TargetMode="External"/><Relationship Id="rId163"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4"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9" Type="http://schemas.openxmlformats.org/officeDocument/2006/relationships/hyperlink" Target="https://www.law.cornell.edu/cfr/text/45/155.1320" TargetMode="External"/><Relationship Id="rId219" Type="http://schemas.openxmlformats.org/officeDocument/2006/relationships/hyperlink" Target="https://www.law.cornell.edu/definitions/index.php?width=840&amp;height=800&amp;iframe=true&amp;def_id=d7feb22d10f4e484fc44f7ad02264069&amp;term_occur=999&amp;term_src=Title:45:Chapter:A:Subchapter:B:Part:155:Subpart:N:155.1328" TargetMode="External"/><Relationship Id="rId3" Type="http://schemas.openxmlformats.org/officeDocument/2006/relationships/settings" Target="settings.xml"/><Relationship Id="rId214" Type="http://schemas.openxmlformats.org/officeDocument/2006/relationships/hyperlink" Target="https://www.law.cornell.edu/cfr/text/45/155.1320" TargetMode="External"/><Relationship Id="rId25" Type="http://schemas.openxmlformats.org/officeDocument/2006/relationships/hyperlink" Target="https://www.law.cornell.edu/cfr/text/45/155.1308" TargetMode="External"/><Relationship Id="rId46" Type="http://schemas.openxmlformats.org/officeDocument/2006/relationships/hyperlink" Target="https://www.law.cornell.edu/definitions/index.php?width=840&amp;height=800&amp;iframe=true&amp;def_id=d7feb22d10f4e484fc44f7ad02264069&amp;term_occur=999&amp;term_src=Title:45:Chapter:A:Subchapter:B:Part:155:Subpart:N:155.1308" TargetMode="External"/><Relationship Id="rId67"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16" Type="http://schemas.openxmlformats.org/officeDocument/2006/relationships/hyperlink" Target="https://www.law.cornell.edu/definitions/index.php?width=840&amp;height=800&amp;iframe=true&amp;def_id=1dabc8d1dcd88d8204dc7fa28a38a762&amp;term_occur=999&amp;term_src=Title:45:Chapter:A:Subchapter:B:Part:155:Subpart:N:155.1316" TargetMode="External"/><Relationship Id="rId137" Type="http://schemas.openxmlformats.org/officeDocument/2006/relationships/hyperlink" Target="https://www.law.cornell.edu/cfr/text/45/155.1318" TargetMode="External"/><Relationship Id="rId158"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20" Type="http://schemas.openxmlformats.org/officeDocument/2006/relationships/hyperlink" Target="https://www.law.cornell.edu/definitions/index.php?width=840&amp;height=800&amp;iframe=true&amp;def_id=1dabc8d1dcd88d8204dc7fa28a38a762&amp;term_occur=999&amp;term_src=Title:45:Chapter:A:Subchapter:B:Part:155:Subpart:N:155.1302" TargetMode="External"/><Relationship Id="rId41" Type="http://schemas.openxmlformats.org/officeDocument/2006/relationships/hyperlink" Target="https://www.law.cornell.edu/definitions/index.php?width=840&amp;height=800&amp;iframe=true&amp;def_id=27b04e95858fcdc7d36373b8db18848e&amp;term_occur=999&amp;term_src=Title:45:Chapter:A:Subchapter:B:Part:155:Subpart:N:155.1308" TargetMode="External"/><Relationship Id="rId62"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83"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88"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11"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132" Type="http://schemas.openxmlformats.org/officeDocument/2006/relationships/hyperlink" Target="https://www.law.cornell.edu/cfr/text/42/400.200" TargetMode="External"/><Relationship Id="rId153"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74" Type="http://schemas.openxmlformats.org/officeDocument/2006/relationships/hyperlink" Target="https://www.law.cornell.edu/cfr/text/45/155.1324" TargetMode="External"/><Relationship Id="rId179" Type="http://schemas.openxmlformats.org/officeDocument/2006/relationships/hyperlink" Target="https://www.law.cornell.edu/cfr/text/42/400.200" TargetMode="External"/><Relationship Id="rId195"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9" Type="http://schemas.openxmlformats.org/officeDocument/2006/relationships/hyperlink" Target="https://www.law.cornell.edu/definitions/index.php?width=840&amp;height=800&amp;iframe=true&amp;def_id=7534aa4414c62d31b280cea73618c915&amp;term_occur=999&amp;term_src=Title:45:Chapter:A:Subchapter:B:Part:155:Subpart:N:155.1324" TargetMode="External"/><Relationship Id="rId190"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4"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20" Type="http://schemas.openxmlformats.org/officeDocument/2006/relationships/hyperlink" Target="https://www.law.cornell.edu/definitions/index.php?width=840&amp;height=800&amp;iframe=true&amp;def_id=7534aa4414c62d31b280cea73618c915&amp;term_occur=999&amp;term_src=Title:45:Chapter:A:Subchapter:B:Part:155:Subpart:N:155.1328" TargetMode="External"/><Relationship Id="rId15" Type="http://schemas.openxmlformats.org/officeDocument/2006/relationships/hyperlink" Target="https://www.law.cornell.edu/definitions/index.php?width=840&amp;height=800&amp;iframe=true&amp;def_id=d7feb22d10f4e484fc44f7ad02264069&amp;term_occur=999&amp;term_src=Title:45:Chapter:A:Subchapter:B:Part:155:Subpart:N:155.1300" TargetMode="External"/><Relationship Id="rId36" Type="http://schemas.openxmlformats.org/officeDocument/2006/relationships/hyperlink" Target="https://www.law.cornell.edu/definitions/index.php?width=840&amp;height=800&amp;iframe=true&amp;def_id=c2c6e4a3f10e8205ab98ef206ddd9ed0&amp;term_occur=999&amp;term_src=Title:45:Chapter:A:Subchapter:B:Part:155:Subpart:N:155.1308" TargetMode="External"/><Relationship Id="rId57"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06"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27"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0" Type="http://schemas.openxmlformats.org/officeDocument/2006/relationships/hyperlink" Target="https://www.law.cornell.edu/definitions/index.php?width=840&amp;height=800&amp;iframe=true&amp;def_id=2b74e43866fc5b8f1f15155c434c7c1d&amp;term_occur=999&amp;term_src=Title:45:Chapter:A:Subchapter:B:Part:155:Subpart:N:155.1300" TargetMode="External"/><Relationship Id="rId31" Type="http://schemas.openxmlformats.org/officeDocument/2006/relationships/hyperlink" Target="https://www.law.cornell.edu/definitions/index.php?width=840&amp;height=800&amp;iframe=true&amp;def_id=1bb4f2b5bca44216bc774f65b739314a&amp;term_occur=999&amp;term_src=Title:45:Chapter:A:Subchapter:B:Part:155:Subpart:N:155.1308" TargetMode="External"/><Relationship Id="rId52" Type="http://schemas.openxmlformats.org/officeDocument/2006/relationships/hyperlink" Target="https://www.law.cornell.edu/cfr/text/45/155.1308" TargetMode="External"/><Relationship Id="rId73"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78"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94"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99" Type="http://schemas.openxmlformats.org/officeDocument/2006/relationships/hyperlink" Target="https://www.law.cornell.edu/definitions/index.php?width=840&amp;height=800&amp;iframe=true&amp;def_id=060b3dae1c18077d298a5957fca08f4d&amp;term_occur=999&amp;term_src=Title:45:Chapter:A:Subchapter:B:Part:155:Subpart:N:155.1312" TargetMode="External"/><Relationship Id="rId101"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22"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143"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48"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64" Type="http://schemas.openxmlformats.org/officeDocument/2006/relationships/hyperlink" Target="https://www.law.cornell.edu/definitions/index.php?width=840&amp;height=800&amp;iframe=true&amp;def_id=7534aa4414c62d31b280cea73618c915&amp;term_occur=999&amp;term_src=Title:45:Chapter:A:Subchapter:B:Part:155:Subpart:N:155.1320" TargetMode="External"/><Relationship Id="rId169" Type="http://schemas.openxmlformats.org/officeDocument/2006/relationships/hyperlink" Target="https://www.law.cornell.edu/definitions/index.php?width=840&amp;height=800&amp;iframe=true&amp;def_id=7534aa4414c62d31b280cea73618c915&amp;term_occur=999&amp;term_src=Title:45:Chapter:A:Subchapter:B:Part:155:Subpart:N:155.1320" TargetMode="External"/><Relationship Id="rId185" Type="http://schemas.openxmlformats.org/officeDocument/2006/relationships/hyperlink" Target="https://www.law.cornell.edu/cfr/text/45/155.1320" TargetMode="External"/><Relationship Id="rId4" Type="http://schemas.openxmlformats.org/officeDocument/2006/relationships/webSettings" Target="webSettings.xml"/><Relationship Id="rId9"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180" Type="http://schemas.openxmlformats.org/officeDocument/2006/relationships/hyperlink" Target="https://www.law.cornell.edu/definitions/index.php?width=840&amp;height=800&amp;iframe=true&amp;def_id=27b04e95858fcdc7d36373b8db18848e&amp;term_occur=999&amp;term_src=Title:45:Chapter:A:Subchapter:B:Part:155:Subpart:N:155.1320" TargetMode="External"/><Relationship Id="rId210"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215"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26" Type="http://schemas.openxmlformats.org/officeDocument/2006/relationships/hyperlink" Target="https://www.law.cornell.edu/definitions/index.php?width=840&amp;height=800&amp;iframe=true&amp;def_id=017bcdd83daf6939fd805b3c73e4d61d&amp;term_occur=999&amp;term_src=Title:45:Chapter:A:Subchapter:B:Part:155:Subpart:N:155.1304" TargetMode="External"/><Relationship Id="rId47" Type="http://schemas.openxmlformats.org/officeDocument/2006/relationships/hyperlink" Target="https://www.law.cornell.edu/definitions/index.php?width=840&amp;height=800&amp;iframe=true&amp;def_id=2b74e43866fc5b8f1f15155c434c7c1d&amp;term_occur=999&amp;term_src=Title:45:Chapter:A:Subchapter:B:Part:155:Subpart:N:155.1308" TargetMode="External"/><Relationship Id="rId68"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89" Type="http://schemas.openxmlformats.org/officeDocument/2006/relationships/hyperlink" Target="https://www.law.cornell.edu/definitions/index.php?width=840&amp;height=800&amp;iframe=true&amp;def_id=7422beda370edf2a1cfda09775c6aac7&amp;term_occur=999&amp;term_src=Title:45:Chapter:A:Subchapter:B:Part:155:Subpart:N:155.1308" TargetMode="External"/><Relationship Id="rId112"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133"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54"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75"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6" Type="http://schemas.openxmlformats.org/officeDocument/2006/relationships/hyperlink" Target="https://www.law.cornell.edu/cfr/text/45/155.1320" TargetMode="External"/><Relationship Id="rId200"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6" Type="http://schemas.openxmlformats.org/officeDocument/2006/relationships/hyperlink" Target="https://www.law.cornell.edu/definitions/index.php?width=840&amp;height=800&amp;iframe=true&amp;def_id=1dabc8d1dcd88d8204dc7fa28a38a762&amp;term_occur=999&amp;term_src=Title:45:Chapter:A:Subchapter:B:Part:155:Subpart:N:155.1300" TargetMode="External"/><Relationship Id="rId221" Type="http://schemas.openxmlformats.org/officeDocument/2006/relationships/hyperlink" Target="https://www.law.cornell.edu/definitions/index.php?width=840&amp;height=800&amp;iframe=true&amp;def_id=1dabc8d1dcd88d8204dc7fa28a38a762&amp;term_occur=999&amp;term_src=Title:45:Chapter:A:Subchapter:B:Part:155:Subpart:N:155.1328" TargetMode="External"/><Relationship Id="rId37"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58"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79" Type="http://schemas.openxmlformats.org/officeDocument/2006/relationships/hyperlink" Target="https://www.law.cornell.edu/definitions/index.php?width=840&amp;height=800&amp;iframe=true&amp;def_id=7422beda370edf2a1cfda09775c6aac7&amp;term_occur=999&amp;term_src=Title:45:Chapter:A:Subchapter:B:Part:155:Subpart:N:155.1308" TargetMode="External"/><Relationship Id="rId102"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23" Type="http://schemas.openxmlformats.org/officeDocument/2006/relationships/hyperlink" Target="https://www.law.cornell.edu/definitions/index.php?width=840&amp;height=800&amp;iframe=true&amp;def_id=1dabc8d1dcd88d8204dc7fa28a38a762&amp;term_occur=999&amp;term_src=Title:45:Chapter:A:Subchapter:B:Part:155:Subpart:N:155.1316" TargetMode="External"/><Relationship Id="rId144"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90"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65"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6"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11" Type="http://schemas.openxmlformats.org/officeDocument/2006/relationships/hyperlink" Target="https://www.law.cornell.edu/definitions/index.php?width=840&amp;height=800&amp;iframe=true&amp;def_id=2b74e43866fc5b8f1f15155c434c7c1d&amp;term_occur=999&amp;term_src=Title:45:Chapter:A:Subchapter:B:Part:155:Subpart:N:155.1324" TargetMode="External"/><Relationship Id="rId27" Type="http://schemas.openxmlformats.org/officeDocument/2006/relationships/hyperlink" Target="https://www.law.cornell.edu/cfr/text/45/155.1312" TargetMode="External"/><Relationship Id="rId48"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69"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13" Type="http://schemas.openxmlformats.org/officeDocument/2006/relationships/hyperlink" Target="https://www.law.cornell.edu/definitions/index.php?width=840&amp;height=800&amp;iframe=true&amp;def_id=c2c6e4a3f10e8205ab98ef206ddd9ed0&amp;term_occur=999&amp;term_src=Title:45:Chapter:A:Subchapter:B:Part:155:Subpart:N:155.1316" TargetMode="External"/><Relationship Id="rId134"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80" Type="http://schemas.openxmlformats.org/officeDocument/2006/relationships/hyperlink" Target="https://www.law.cornell.edu/definitions/index.php?width=840&amp;height=800&amp;iframe=true&amp;def_id=7422beda370edf2a1cfda09775c6aac7&amp;term_occur=999&amp;term_src=Title:45:Chapter:A:Subchapter:B:Part:155:Subpart:N:155.1308" TargetMode="External"/><Relationship Id="rId155"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76"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7"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1" Type="http://schemas.openxmlformats.org/officeDocument/2006/relationships/hyperlink" Target="https://www.law.cornell.edu/definitions/index.php?width=840&amp;height=800&amp;iframe=true&amp;def_id=c7f499764f975ae7f0bdc969cad73259&amp;term_occur=999&amp;term_src=Title:45:Chapter:A:Subchapter:B:Part:155:Subpart:N:155.1320" TargetMode="External"/><Relationship Id="rId222" Type="http://schemas.openxmlformats.org/officeDocument/2006/relationships/hyperlink" Target="https://www.law.cornell.edu/cfr/text/45/155.1324" TargetMode="External"/><Relationship Id="rId17" Type="http://schemas.openxmlformats.org/officeDocument/2006/relationships/hyperlink" Target="https://www.law.cornell.edu/definitions/index.php?width=840&amp;height=800&amp;iframe=true&amp;def_id=e8dfa5131d72d125c158db4279935dab&amp;term_occur=999&amp;term_src=Title:45:Chapter:A:Subchapter:B:Part:155:Subpart:N:155.1300" TargetMode="External"/><Relationship Id="rId38"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59"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03"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24" Type="http://schemas.openxmlformats.org/officeDocument/2006/relationships/hyperlink" Target="https://www.law.cornell.edu/definitions/index.php?width=840&amp;height=800&amp;iframe=true&amp;def_id=c2c6e4a3f10e8205ab98ef206ddd9ed0&amp;term_occur=999&amp;term_src=Title:45:Chapter:A:Subchapter:B:Part:155:Subpart:N:155.1316" TargetMode="External"/><Relationship Id="rId70"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91"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45"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66" Type="http://schemas.openxmlformats.org/officeDocument/2006/relationships/hyperlink" Target="https://www.law.cornell.edu/definitions/index.php?width=840&amp;height=800&amp;iframe=true&amp;def_id=7534aa4414c62d31b280cea73618c915&amp;term_occur=999&amp;term_src=Title:45:Chapter:A:Subchapter:B:Part:155:Subpart:N:155.1320" TargetMode="External"/><Relationship Id="rId187" Type="http://schemas.openxmlformats.org/officeDocument/2006/relationships/hyperlink" Target="https://www.law.cornell.edu/definitions/index.php?width=840&amp;height=800&amp;iframe=true&amp;def_id=7534aa4414c62d31b280cea73618c915&amp;term_occur=999&amp;term_src=Title:45:Chapter:A:Subchapter:B:Part:155:Subpart:N:155.1320" TargetMode="External"/><Relationship Id="rId1" Type="http://schemas.openxmlformats.org/officeDocument/2006/relationships/numbering" Target="numbering.xml"/><Relationship Id="rId212" Type="http://schemas.openxmlformats.org/officeDocument/2006/relationships/hyperlink" Target="https://www.law.cornell.edu/definitions/index.php?width=840&amp;height=800&amp;iframe=true&amp;def_id=1dabc8d1dcd88d8204dc7fa28a38a762&amp;term_occur=999&amp;term_src=Title:45:Chapter:A:Subchapter:B:Part:155:Subpart:N:155.1324" TargetMode="External"/><Relationship Id="rId28" Type="http://schemas.openxmlformats.org/officeDocument/2006/relationships/hyperlink" Target="https://www.law.cornell.edu/definitions/index.php?width=840&amp;height=800&amp;iframe=true&amp;def_id=1dabc8d1dcd88d8204dc7fa28a38a762&amp;term_occur=999&amp;term_src=Title:45:Chapter:A:Subchapter:B:Part:155:Subpart:N:155.1304" TargetMode="External"/><Relationship Id="rId49"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14" Type="http://schemas.openxmlformats.org/officeDocument/2006/relationships/hyperlink" Target="https://www.law.cornell.edu/definitions/index.php?width=840&amp;height=800&amp;iframe=true&amp;def_id=1dabc8d1dcd88d8204dc7fa28a38a762&amp;term_occur=999&amp;term_src=Title:45:Chapter:A:Subchapter:B:Part:155:Subpart:N:155.1316" TargetMode="External"/><Relationship Id="rId60" Type="http://schemas.openxmlformats.org/officeDocument/2006/relationships/hyperlink" Target="https://www.law.cornell.edu/definitions/index.php?width=840&amp;height=800&amp;iframe=true&amp;def_id=d7feb22d10f4e484fc44f7ad02264069&amp;term_occur=999&amp;term_src=Title:45:Chapter:A:Subchapter:B:Part:155:Subpart:N:155.1308" TargetMode="External"/><Relationship Id="rId81" Type="http://schemas.openxmlformats.org/officeDocument/2006/relationships/hyperlink" Target="https://www.law.cornell.edu/definitions/index.php?width=840&amp;height=800&amp;iframe=true&amp;def_id=7422beda370edf2a1cfda09775c6aac7&amp;term_occur=999&amp;term_src=Title:45:Chapter:A:Subchapter:B:Part:155:Subpart:N:155.1308" TargetMode="External"/><Relationship Id="rId135" Type="http://schemas.openxmlformats.org/officeDocument/2006/relationships/hyperlink" Target="https://www.law.cornell.edu/cfr/text/45/155.1318" TargetMode="External"/><Relationship Id="rId156"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77" Type="http://schemas.openxmlformats.org/officeDocument/2006/relationships/hyperlink" Target="https://www.law.cornell.edu/definitions/index.php?width=840&amp;height=800&amp;iframe=true&amp;def_id=2b74e43866fc5b8f1f15155c434c7c1d&amp;term_occur=999&amp;term_src=Title:45:Chapter:A:Subchapter:B:Part:155:Subpart:N:155.1320" TargetMode="External"/><Relationship Id="rId198"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202" Type="http://schemas.openxmlformats.org/officeDocument/2006/relationships/hyperlink" Target="https://www.law.cornell.edu/definitions/index.php?width=840&amp;height=800&amp;iframe=true&amp;def_id=f7d14f4b8b4ce771d886760ddfd52142&amp;term_occur=999&amp;term_src=Title:45:Chapter:A:Subchapter:B:Part:155:Subpart:N:155.1320" TargetMode="External"/><Relationship Id="rId223" Type="http://schemas.openxmlformats.org/officeDocument/2006/relationships/fontTable" Target="fontTable.xml"/><Relationship Id="rId18" Type="http://schemas.openxmlformats.org/officeDocument/2006/relationships/hyperlink" Target="https://www.law.cornell.edu/definitions/index.php?width=840&amp;height=800&amp;iframe=true&amp;def_id=1dabc8d1dcd88d8204dc7fa28a38a762&amp;term_occur=999&amp;term_src=Title:45:Chapter:A:Subchapter:B:Part:155:Subpart:N:155.1302" TargetMode="External"/><Relationship Id="rId39" Type="http://schemas.openxmlformats.org/officeDocument/2006/relationships/hyperlink" Target="https://www.law.cornell.edu/definitions/index.php?width=840&amp;height=800&amp;iframe=true&amp;def_id=c2c6e4a3f10e8205ab98ef206ddd9ed0&amp;term_occur=999&amp;term_src=Title:45:Chapter:A:Subchapter:B:Part:155:Subpart:N:155.1308" TargetMode="External"/><Relationship Id="rId50"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104" Type="http://schemas.openxmlformats.org/officeDocument/2006/relationships/hyperlink" Target="https://www.law.cornell.edu/definitions/index.php?width=840&amp;height=800&amp;iframe=true&amp;def_id=27b04e95858fcdc7d36373b8db18848e&amp;term_occur=999&amp;term_src=Title:45:Chapter:A:Subchapter:B:Part:155:Subpart:N:155.1312" TargetMode="External"/><Relationship Id="rId125" Type="http://schemas.openxmlformats.org/officeDocument/2006/relationships/hyperlink" Target="https://www.law.cornell.edu/cfr/text/45/155.1308" TargetMode="External"/><Relationship Id="rId146"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67"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88"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71"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92" Type="http://schemas.openxmlformats.org/officeDocument/2006/relationships/hyperlink" Target="https://www.law.cornell.edu/cfr/text/45/155.1316" TargetMode="External"/><Relationship Id="rId213" Type="http://schemas.openxmlformats.org/officeDocument/2006/relationships/hyperlink" Target="https://www.law.cornell.edu/definitions/index.php?width=840&amp;height=800&amp;iframe=true&amp;def_id=e8dfa5131d72d125c158db4279935dab&amp;term_occur=999&amp;term_src=Title:45:Chapter:A:Subchapter:B:Part:155:Subpart:N:155.1324" TargetMode="External"/><Relationship Id="rId2" Type="http://schemas.openxmlformats.org/officeDocument/2006/relationships/styles" Target="styles.xml"/><Relationship Id="rId29" Type="http://schemas.openxmlformats.org/officeDocument/2006/relationships/hyperlink" Target="https://www.law.cornell.edu/definitions/index.php?width=840&amp;height=800&amp;iframe=true&amp;def_id=e8dfa5131d72d125c158db4279935dab&amp;term_occur=999&amp;term_src=Title:45:Chapter:A:Subchapter:B:Part:155:Subpart:N:155.1304" TargetMode="External"/><Relationship Id="rId40"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15" Type="http://schemas.openxmlformats.org/officeDocument/2006/relationships/hyperlink" Target="https://www.law.cornell.edu/definitions/index.php?width=840&amp;height=800&amp;iframe=true&amp;def_id=27b04e95858fcdc7d36373b8db18848e&amp;term_occur=999&amp;term_src=Title:45:Chapter:A:Subchapter:B:Part:155:Subpart:N:155.1316" TargetMode="External"/><Relationship Id="rId136" Type="http://schemas.openxmlformats.org/officeDocument/2006/relationships/hyperlink" Target="https://www.law.cornell.edu/definitions/index.php?width=840&amp;height=800&amp;iframe=true&amp;def_id=1dabc8d1dcd88d8204dc7fa28a38a762&amp;term_occur=999&amp;term_src=Title:45:Chapter:A:Subchapter:B:Part:155:Subpart:N:155.1318" TargetMode="External"/><Relationship Id="rId157"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78"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61" Type="http://schemas.openxmlformats.org/officeDocument/2006/relationships/hyperlink" Target="https://www.law.cornell.edu/definitions/index.php?width=840&amp;height=800&amp;iframe=true&amp;def_id=e8dfa5131d72d125c158db4279935dab&amp;term_occur=999&amp;term_src=Title:45:Chapter:A:Subchapter:B:Part:155:Subpart:N:155.1308" TargetMode="External"/><Relationship Id="rId82" Type="http://schemas.openxmlformats.org/officeDocument/2006/relationships/hyperlink" Target="https://www.law.cornell.edu/definitions/index.php?width=840&amp;height=800&amp;iframe=true&amp;def_id=1dabc8d1dcd88d8204dc7fa28a38a762&amp;term_occur=999&amp;term_src=Title:45:Chapter:A:Subchapter:B:Part:155:Subpart:N:155.1308" TargetMode="External"/><Relationship Id="rId199" Type="http://schemas.openxmlformats.org/officeDocument/2006/relationships/hyperlink" Target="https://www.law.cornell.edu/definitions/index.php?width=840&amp;height=800&amp;iframe=true&amp;def_id=27b04e95858fcdc7d36373b8db18848e&amp;term_occur=999&amp;term_src=Title:45:Chapter:A:Subchapter:B:Part:155:Subpart:N:155.1320" TargetMode="External"/><Relationship Id="rId203"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 Id="rId19" Type="http://schemas.openxmlformats.org/officeDocument/2006/relationships/hyperlink" Target="https://www.law.cornell.edu/definitions/index.php?width=840&amp;height=800&amp;iframe=true&amp;def_id=e8dfa5131d72d125c158db4279935dab&amp;term_occur=999&amp;term_src=Title:45:Chapter:A:Subchapter:B:Part:155:Subpart:N:155.1302" TargetMode="External"/><Relationship Id="rId224" Type="http://schemas.openxmlformats.org/officeDocument/2006/relationships/theme" Target="theme/theme1.xml"/><Relationship Id="rId30" Type="http://schemas.openxmlformats.org/officeDocument/2006/relationships/hyperlink" Target="https://www.law.cornell.edu/definitions/index.php?width=840&amp;height=800&amp;iframe=true&amp;def_id=1bb4f2b5bca44216bc774f65b739314a&amp;term_occur=999&amp;term_src=Title:45:Chapter:A:Subchapter:B:Part:155:Subpart:N:155.1308" TargetMode="External"/><Relationship Id="rId105" Type="http://schemas.openxmlformats.org/officeDocument/2006/relationships/hyperlink" Target="https://www.law.cornell.edu/definitions/index.php?width=840&amp;height=800&amp;iframe=true&amp;def_id=1dabc8d1dcd88d8204dc7fa28a38a762&amp;term_occur=999&amp;term_src=Title:45:Chapter:A:Subchapter:B:Part:155:Subpart:N:155.1312" TargetMode="External"/><Relationship Id="rId126" Type="http://schemas.openxmlformats.org/officeDocument/2006/relationships/hyperlink" Target="https://www.law.cornell.edu/definitions/index.php?width=840&amp;height=800&amp;iframe=true&amp;def_id=27b04e95858fcdc7d36373b8db18848e&amp;term_occur=999&amp;term_src=Title:45:Chapter:A:Subchapter:B:Part:155:Subpart:N:155.1318" TargetMode="External"/><Relationship Id="rId147" Type="http://schemas.openxmlformats.org/officeDocument/2006/relationships/hyperlink" Target="https://www.law.cornell.edu/cfr/text/45/155.1318" TargetMode="External"/><Relationship Id="rId168" Type="http://schemas.openxmlformats.org/officeDocument/2006/relationships/hyperlink" Target="https://www.law.cornell.edu/definitions/index.php?width=840&amp;height=800&amp;iframe=true&amp;def_id=1dabc8d1dcd88d8204dc7fa28a38a762&amp;term_occur=999&amp;term_src=Title:45:Chapter:A:Subchapter:B:Part:155:Subpart:N:155.13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11073</Words>
  <Characters>63117</Characters>
  <Application>Microsoft Office Word</Application>
  <DocSecurity>0</DocSecurity>
  <Lines>525</Lines>
  <Paragraphs>148</Paragraphs>
  <ScaleCrop>false</ScaleCrop>
  <Company/>
  <LinksUpToDate>false</LinksUpToDate>
  <CharactersWithSpaces>74042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dcterms:created xsi:type="dcterms:W3CDTF">2021-01-15T15:56:00Z</dcterms:created>
  <dcterms:modified xsi:type="dcterms:W3CDTF">2021-01-15T15:56:00Z</dcterms:modified>
</cp:coreProperties>
</file>