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CD8A8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Bold" w:hAnsi="NewCenturySchlbk-Bold" w:cs="NewCenturySchlbk-Bold"/>
          <w:b/>
          <w:bCs/>
          <w:sz w:val="16"/>
          <w:szCs w:val="16"/>
        </w:rPr>
      </w:pPr>
      <w:r>
        <w:rPr>
          <w:rFonts w:ascii="NewCenturySchlbk-Bold" w:hAnsi="NewCenturySchlbk-Bold" w:cs="NewCenturySchlbk-Bold"/>
          <w:b/>
          <w:bCs/>
          <w:sz w:val="16"/>
          <w:szCs w:val="16"/>
        </w:rPr>
        <w:t>SEC. 4024. TEMPORARY MORATORIUM ON EVICTION FILINGS.</w:t>
      </w:r>
    </w:p>
    <w:p w14:paraId="4EB09473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 xml:space="preserve">(a) </w:t>
      </w:r>
      <w:proofErr w:type="gramStart"/>
      <w:r>
        <w:rPr>
          <w:rFonts w:ascii="NewCenturySchlbk-Roman" w:hAnsi="NewCenturySchlbk-Roman" w:cs="NewCenturySchlbk-Roman"/>
          <w:sz w:val="20"/>
          <w:szCs w:val="20"/>
        </w:rPr>
        <w:t>D</w:t>
      </w:r>
      <w:r>
        <w:rPr>
          <w:rFonts w:ascii="NewCenturySchlbk-Roman" w:hAnsi="NewCenturySchlbk-Roman" w:cs="NewCenturySchlbk-Roman"/>
          <w:sz w:val="15"/>
          <w:szCs w:val="15"/>
        </w:rPr>
        <w:t>EFINITIONS</w:t>
      </w:r>
      <w:r>
        <w:rPr>
          <w:rFonts w:ascii="NewCenturySchlbk-Roman" w:hAnsi="NewCenturySchlbk-Roman" w:cs="NewCenturySchlbk-Roman"/>
          <w:sz w:val="20"/>
          <w:szCs w:val="20"/>
        </w:rPr>
        <w:t>.—</w:t>
      </w:r>
      <w:proofErr w:type="gramEnd"/>
      <w:r>
        <w:rPr>
          <w:rFonts w:ascii="NewCenturySchlbk-Roman" w:hAnsi="NewCenturySchlbk-Roman" w:cs="NewCenturySchlbk-Roman"/>
          <w:sz w:val="20"/>
          <w:szCs w:val="20"/>
        </w:rPr>
        <w:t>In this section:</w:t>
      </w:r>
    </w:p>
    <w:p w14:paraId="7EAAED79" w14:textId="5764C5D6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(1) C</w:t>
      </w:r>
      <w:r>
        <w:rPr>
          <w:rFonts w:ascii="NewCenturySchlbk-Roman" w:hAnsi="NewCenturySchlbk-Roman" w:cs="NewCenturySchlbk-Roman"/>
          <w:sz w:val="15"/>
          <w:szCs w:val="15"/>
        </w:rPr>
        <w:t xml:space="preserve">OVERED </w:t>
      </w:r>
      <w:proofErr w:type="gramStart"/>
      <w:r>
        <w:rPr>
          <w:rFonts w:ascii="NewCenturySchlbk-Roman" w:hAnsi="NewCenturySchlbk-Roman" w:cs="NewCenturySchlbk-Roman"/>
          <w:sz w:val="15"/>
          <w:szCs w:val="15"/>
        </w:rPr>
        <w:t>DWELLING</w:t>
      </w:r>
      <w:r>
        <w:rPr>
          <w:rFonts w:ascii="NewCenturySchlbk-Roman" w:hAnsi="NewCenturySchlbk-Roman" w:cs="NewCenturySchlbk-Roman"/>
          <w:sz w:val="20"/>
          <w:szCs w:val="20"/>
        </w:rPr>
        <w:t>.—</w:t>
      </w:r>
      <w:proofErr w:type="gramEnd"/>
      <w:r>
        <w:rPr>
          <w:rFonts w:ascii="NewCenturySchlbk-Roman" w:hAnsi="NewCenturySchlbk-Roman" w:cs="NewCenturySchlbk-Roman"/>
          <w:sz w:val="20"/>
          <w:szCs w:val="20"/>
        </w:rPr>
        <w:t>The term ‘‘covered dwelling’’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means a dwelling that—</w:t>
      </w:r>
    </w:p>
    <w:p w14:paraId="7E652859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(A) is occupied by a tenant—</w:t>
      </w:r>
    </w:p>
    <w:p w14:paraId="09C9E608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(i) pursuant to a residential lease; or</w:t>
      </w:r>
    </w:p>
    <w:p w14:paraId="575AA860" w14:textId="22ACDFE6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(ii) without a lease or with a lease terminable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under State law; and</w:t>
      </w:r>
    </w:p>
    <w:p w14:paraId="4BFA5A71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(B) is on or in a covered property.</w:t>
      </w:r>
    </w:p>
    <w:p w14:paraId="76A5399B" w14:textId="3AF2EC69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(2) C</w:t>
      </w:r>
      <w:r>
        <w:rPr>
          <w:rFonts w:ascii="NewCenturySchlbk-Roman" w:hAnsi="NewCenturySchlbk-Roman" w:cs="NewCenturySchlbk-Roman"/>
          <w:sz w:val="15"/>
          <w:szCs w:val="15"/>
        </w:rPr>
        <w:t xml:space="preserve">OVERED </w:t>
      </w:r>
      <w:proofErr w:type="gramStart"/>
      <w:r>
        <w:rPr>
          <w:rFonts w:ascii="NewCenturySchlbk-Roman" w:hAnsi="NewCenturySchlbk-Roman" w:cs="NewCenturySchlbk-Roman"/>
          <w:sz w:val="15"/>
          <w:szCs w:val="15"/>
        </w:rPr>
        <w:t>PROPERTY</w:t>
      </w:r>
      <w:r>
        <w:rPr>
          <w:rFonts w:ascii="NewCenturySchlbk-Roman" w:hAnsi="NewCenturySchlbk-Roman" w:cs="NewCenturySchlbk-Roman"/>
          <w:sz w:val="20"/>
          <w:szCs w:val="20"/>
        </w:rPr>
        <w:t>.—</w:t>
      </w:r>
      <w:proofErr w:type="gramEnd"/>
      <w:r>
        <w:rPr>
          <w:rFonts w:ascii="NewCenturySchlbk-Roman" w:hAnsi="NewCenturySchlbk-Roman" w:cs="NewCenturySchlbk-Roman"/>
          <w:sz w:val="20"/>
          <w:szCs w:val="20"/>
        </w:rPr>
        <w:t>The term ‘‘covered property’’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means any property that—</w:t>
      </w:r>
    </w:p>
    <w:p w14:paraId="20D80CF4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(A) participates in—</w:t>
      </w:r>
    </w:p>
    <w:p w14:paraId="133D50C8" w14:textId="1CBDC003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(i) a covered housing program (as defined in section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41411(a) of the Violence Against Women Act of 1994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(34 U.S.C. 12491(a))); or</w:t>
      </w:r>
    </w:p>
    <w:p w14:paraId="1C52F841" w14:textId="1723B44E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(ii) the rural housing voucher program under section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542 of the Housing Act of 1949 (42 U.S.C. 1490r);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or</w:t>
      </w:r>
    </w:p>
    <w:p w14:paraId="360AA9C2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(B) has a—</w:t>
      </w:r>
    </w:p>
    <w:p w14:paraId="521F50A4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(i) Federally backed mortgage loan; or</w:t>
      </w:r>
    </w:p>
    <w:p w14:paraId="16658344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(ii) Federally backed multifamily mortgage loan.</w:t>
      </w:r>
    </w:p>
    <w:p w14:paraId="4F697974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 xml:space="preserve">(3) </w:t>
      </w:r>
      <w:proofErr w:type="gramStart"/>
      <w:r>
        <w:rPr>
          <w:rFonts w:ascii="NewCenturySchlbk-Roman" w:hAnsi="NewCenturySchlbk-Roman" w:cs="NewCenturySchlbk-Roman"/>
          <w:sz w:val="20"/>
          <w:szCs w:val="20"/>
        </w:rPr>
        <w:t>D</w:t>
      </w:r>
      <w:r>
        <w:rPr>
          <w:rFonts w:ascii="NewCenturySchlbk-Roman" w:hAnsi="NewCenturySchlbk-Roman" w:cs="NewCenturySchlbk-Roman"/>
          <w:sz w:val="15"/>
          <w:szCs w:val="15"/>
        </w:rPr>
        <w:t>WELLING</w:t>
      </w:r>
      <w:r>
        <w:rPr>
          <w:rFonts w:ascii="NewCenturySchlbk-Roman" w:hAnsi="NewCenturySchlbk-Roman" w:cs="NewCenturySchlbk-Roman"/>
          <w:sz w:val="20"/>
          <w:szCs w:val="20"/>
        </w:rPr>
        <w:t>.—</w:t>
      </w:r>
      <w:proofErr w:type="gramEnd"/>
      <w:r>
        <w:rPr>
          <w:rFonts w:ascii="NewCenturySchlbk-Roman" w:hAnsi="NewCenturySchlbk-Roman" w:cs="NewCenturySchlbk-Roman"/>
          <w:sz w:val="20"/>
          <w:szCs w:val="20"/>
        </w:rPr>
        <w:t>The term ‘‘dwelling’’—</w:t>
      </w:r>
    </w:p>
    <w:p w14:paraId="7495B681" w14:textId="68C538C5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(A) has the meaning given the term in section 802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of the Fair Housing Act (42 U.S.C. 3602); and</w:t>
      </w:r>
    </w:p>
    <w:p w14:paraId="1A4E07D8" w14:textId="6C0A9D13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(B) includes houses and dwellings described in section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803(b) of such Act (42 U.S.C. 3603(b)).</w:t>
      </w:r>
    </w:p>
    <w:p w14:paraId="247E4127" w14:textId="2020423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(4) F</w:t>
      </w:r>
      <w:r>
        <w:rPr>
          <w:rFonts w:ascii="NewCenturySchlbk-Roman" w:hAnsi="NewCenturySchlbk-Roman" w:cs="NewCenturySchlbk-Roman"/>
          <w:sz w:val="15"/>
          <w:szCs w:val="15"/>
        </w:rPr>
        <w:t xml:space="preserve">EDERALLY BACKED MORTGAGE </w:t>
      </w:r>
      <w:proofErr w:type="gramStart"/>
      <w:r>
        <w:rPr>
          <w:rFonts w:ascii="NewCenturySchlbk-Roman" w:hAnsi="NewCenturySchlbk-Roman" w:cs="NewCenturySchlbk-Roman"/>
          <w:sz w:val="15"/>
          <w:szCs w:val="15"/>
        </w:rPr>
        <w:t>LOAN</w:t>
      </w:r>
      <w:r>
        <w:rPr>
          <w:rFonts w:ascii="NewCenturySchlbk-Roman" w:hAnsi="NewCenturySchlbk-Roman" w:cs="NewCenturySchlbk-Roman"/>
          <w:sz w:val="20"/>
          <w:szCs w:val="20"/>
        </w:rPr>
        <w:t>.—</w:t>
      </w:r>
      <w:proofErr w:type="gramEnd"/>
      <w:r>
        <w:rPr>
          <w:rFonts w:ascii="NewCenturySchlbk-Roman" w:hAnsi="NewCenturySchlbk-Roman" w:cs="NewCenturySchlbk-Roman"/>
          <w:sz w:val="20"/>
          <w:szCs w:val="20"/>
        </w:rPr>
        <w:t>The term ‘‘Federally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backed mortgage loan’’ includes any loan (other than temporary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financing such as a construction loan) that—</w:t>
      </w:r>
    </w:p>
    <w:p w14:paraId="49368CA0" w14:textId="328D3B51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(A) is secured by a first or subordinate lien on residential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real property (including individual units of condominiums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and cooperatives) designed principally for the occupancy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of from 1 to 4 families, including any such secured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loan, the proceeds of which are used to prepay or pay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off an existing loan secured by the same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proofErr w:type="gramStart"/>
      <w:r>
        <w:rPr>
          <w:rFonts w:ascii="NewCenturySchlbk-Roman" w:hAnsi="NewCenturySchlbk-Roman" w:cs="NewCenturySchlbk-Roman"/>
          <w:sz w:val="20"/>
          <w:szCs w:val="20"/>
        </w:rPr>
        <w:t>property;</w:t>
      </w:r>
      <w:proofErr w:type="gramEnd"/>
      <w:r>
        <w:rPr>
          <w:rFonts w:ascii="NewCenturySchlbk-Roman" w:hAnsi="NewCenturySchlbk-Roman" w:cs="NewCenturySchlbk-Roman"/>
          <w:sz w:val="20"/>
          <w:szCs w:val="20"/>
        </w:rPr>
        <w:t xml:space="preserve"> and</w:t>
      </w:r>
    </w:p>
    <w:p w14:paraId="138BD32F" w14:textId="769C4999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(B) is made in whole or in part, or insured, guaranteed,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supplemented, or assisted in any way, by any officer or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agency of the Federal Government or under or in connection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with a housing or urban development program administered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by the Secretary of Housing and Urban Development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or a housing or related program administered by any other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such officer or agency, or is purchased or securitized by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the Federal Home Loan Mortgage Corporation or the Federal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National Mortgage Association.</w:t>
      </w:r>
    </w:p>
    <w:p w14:paraId="76317BF3" w14:textId="77777777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(5) F</w:t>
      </w:r>
      <w:r>
        <w:rPr>
          <w:rFonts w:ascii="NewCenturySchlbk-Roman" w:hAnsi="NewCenturySchlbk-Roman" w:cs="NewCenturySchlbk-Roman"/>
          <w:sz w:val="15"/>
          <w:szCs w:val="15"/>
        </w:rPr>
        <w:t xml:space="preserve">EDERALLY BACKED MULTIFAMILY MORTGAGE </w:t>
      </w:r>
      <w:proofErr w:type="gramStart"/>
      <w:r>
        <w:rPr>
          <w:rFonts w:ascii="NewCenturySchlbk-Roman" w:hAnsi="NewCenturySchlbk-Roman" w:cs="NewCenturySchlbk-Roman"/>
          <w:sz w:val="15"/>
          <w:szCs w:val="15"/>
        </w:rPr>
        <w:t>LOAN</w:t>
      </w:r>
      <w:r>
        <w:rPr>
          <w:rFonts w:ascii="NewCenturySchlbk-Roman" w:hAnsi="NewCenturySchlbk-Roman" w:cs="NewCenturySchlbk-Roman"/>
          <w:sz w:val="20"/>
          <w:szCs w:val="20"/>
        </w:rPr>
        <w:t>.—</w:t>
      </w:r>
      <w:proofErr w:type="gramEnd"/>
    </w:p>
    <w:p w14:paraId="65D5EBDA" w14:textId="5B9C1215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The term ‘‘Federally backed multifamily mortgage loan’’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includes any loan (other than temporary financing such as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a construction loan) that—</w:t>
      </w:r>
    </w:p>
    <w:p w14:paraId="41679FAD" w14:textId="5F561A58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(A) is secured by a first or subordinate lien on residential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multifamily real property designed principally for the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occupancy of 5 or more families, including any such secured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loan, the proceeds of which are used to prepay or pay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off an existing loan secured by the same property; and</w:t>
      </w:r>
    </w:p>
    <w:p w14:paraId="7344B776" w14:textId="300322CC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(B) is made in whole or in part, or insured, guaranteed,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supplemented, or assisted in any way, by any officer or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agency of the Federal Government or under or in connection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with a housing or urban development program administered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by the Secretary of Housing and Urban Development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or a housing or related program administered by any other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such officer or agency, or is purchased or securitized by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the Federal Home Loan Mortgage Corporation or the Federal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National Mortgage Association.</w:t>
      </w:r>
    </w:p>
    <w:p w14:paraId="6602096D" w14:textId="3D7DB076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 xml:space="preserve">(b) </w:t>
      </w:r>
      <w:proofErr w:type="gramStart"/>
      <w:r>
        <w:rPr>
          <w:rFonts w:ascii="NewCenturySchlbk-Roman" w:hAnsi="NewCenturySchlbk-Roman" w:cs="NewCenturySchlbk-Roman"/>
          <w:sz w:val="20"/>
          <w:szCs w:val="20"/>
        </w:rPr>
        <w:t>M</w:t>
      </w:r>
      <w:r>
        <w:rPr>
          <w:rFonts w:ascii="NewCenturySchlbk-Roman" w:hAnsi="NewCenturySchlbk-Roman" w:cs="NewCenturySchlbk-Roman"/>
          <w:sz w:val="15"/>
          <w:szCs w:val="15"/>
        </w:rPr>
        <w:t>ORATORIUM</w:t>
      </w:r>
      <w:r>
        <w:rPr>
          <w:rFonts w:ascii="NewCenturySchlbk-Roman" w:hAnsi="NewCenturySchlbk-Roman" w:cs="NewCenturySchlbk-Roman"/>
          <w:sz w:val="20"/>
          <w:szCs w:val="20"/>
        </w:rPr>
        <w:t>.—</w:t>
      </w:r>
      <w:proofErr w:type="gramEnd"/>
      <w:r>
        <w:rPr>
          <w:rFonts w:ascii="NewCenturySchlbk-Roman" w:hAnsi="NewCenturySchlbk-Roman" w:cs="NewCenturySchlbk-Roman"/>
          <w:sz w:val="20"/>
          <w:szCs w:val="20"/>
        </w:rPr>
        <w:t>During the 120-day period beginning on the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date of enactment of this Act, the lessor of a covered dwelling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may not—</w:t>
      </w:r>
    </w:p>
    <w:p w14:paraId="6AA659E3" w14:textId="76EAAC32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(1) make, or cause to be made, any filing with the court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of jurisdiction to initiate a legal action to recover possession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of the covered dwelling from the tenant for nonpayment of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rent or other fees or charges; or</w:t>
      </w:r>
    </w:p>
    <w:p w14:paraId="68B96B93" w14:textId="6BF162C3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(2) charge fees, penalties, or other charges to the tenant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related to such nonpayment of rent.</w:t>
      </w:r>
    </w:p>
    <w:p w14:paraId="2C60E52F" w14:textId="2666B11A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 xml:space="preserve">(c) </w:t>
      </w:r>
      <w:proofErr w:type="gramStart"/>
      <w:r>
        <w:rPr>
          <w:rFonts w:ascii="NewCenturySchlbk-Roman" w:hAnsi="NewCenturySchlbk-Roman" w:cs="NewCenturySchlbk-Roman"/>
          <w:sz w:val="20"/>
          <w:szCs w:val="20"/>
        </w:rPr>
        <w:t>N</w:t>
      </w:r>
      <w:r>
        <w:rPr>
          <w:rFonts w:ascii="NewCenturySchlbk-Roman" w:hAnsi="NewCenturySchlbk-Roman" w:cs="NewCenturySchlbk-Roman"/>
          <w:sz w:val="15"/>
          <w:szCs w:val="15"/>
        </w:rPr>
        <w:t>OTICE</w:t>
      </w:r>
      <w:r>
        <w:rPr>
          <w:rFonts w:ascii="NewCenturySchlbk-Roman" w:hAnsi="NewCenturySchlbk-Roman" w:cs="NewCenturySchlbk-Roman"/>
          <w:sz w:val="20"/>
          <w:szCs w:val="20"/>
        </w:rPr>
        <w:t>.—</w:t>
      </w:r>
      <w:proofErr w:type="gramEnd"/>
      <w:r>
        <w:rPr>
          <w:rFonts w:ascii="NewCenturySchlbk-Roman" w:hAnsi="NewCenturySchlbk-Roman" w:cs="NewCenturySchlbk-Roman"/>
          <w:sz w:val="20"/>
          <w:szCs w:val="20"/>
        </w:rPr>
        <w:t>The lessor of a covered dwelling unit—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</w:p>
    <w:p w14:paraId="0328F43C" w14:textId="13687E0F" w:rsidR="000905CC" w:rsidRDefault="000905CC" w:rsidP="000905CC">
      <w:pPr>
        <w:autoSpaceDE w:val="0"/>
        <w:autoSpaceDN w:val="0"/>
        <w:adjustRightInd w:val="0"/>
        <w:spacing w:after="0" w:line="240" w:lineRule="auto"/>
        <w:rPr>
          <w:rFonts w:ascii="NewCenturySchlbk-Roman" w:hAnsi="NewCenturySchlbk-Roman" w:cs="NewCenturySchlbk-Roman"/>
          <w:sz w:val="20"/>
          <w:szCs w:val="20"/>
        </w:rPr>
      </w:pPr>
      <w:r>
        <w:rPr>
          <w:rFonts w:ascii="NewCenturySchlbk-Roman" w:hAnsi="NewCenturySchlbk-Roman" w:cs="NewCenturySchlbk-Roman"/>
          <w:sz w:val="20"/>
          <w:szCs w:val="20"/>
        </w:rPr>
        <w:t>(1) may not require the tenant to vacate the covered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dwelling unit before the date that is 30 days after the date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 xml:space="preserve">on which the lessor provides the tenant with a notice to </w:t>
      </w:r>
      <w:proofErr w:type="gramStart"/>
      <w:r>
        <w:rPr>
          <w:rFonts w:ascii="NewCenturySchlbk-Roman" w:hAnsi="NewCenturySchlbk-Roman" w:cs="NewCenturySchlbk-Roman"/>
          <w:sz w:val="20"/>
          <w:szCs w:val="20"/>
        </w:rPr>
        <w:t>vacate;</w:t>
      </w:r>
      <w:proofErr w:type="gramEnd"/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and</w:t>
      </w:r>
    </w:p>
    <w:p w14:paraId="104FD61B" w14:textId="479B24AC" w:rsidR="000905CC" w:rsidRDefault="000905CC" w:rsidP="000905CC">
      <w:pPr>
        <w:autoSpaceDE w:val="0"/>
        <w:autoSpaceDN w:val="0"/>
        <w:adjustRightInd w:val="0"/>
        <w:spacing w:after="0" w:line="240" w:lineRule="auto"/>
      </w:pPr>
      <w:r>
        <w:rPr>
          <w:rFonts w:ascii="NewCenturySchlbk-Roman" w:hAnsi="NewCenturySchlbk-Roman" w:cs="NewCenturySchlbk-Roman"/>
          <w:sz w:val="20"/>
          <w:szCs w:val="20"/>
        </w:rPr>
        <w:t>(2) may not issue a notice to vacate under paragraph (1)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until after the expiration of the period described in subsection</w:t>
      </w:r>
      <w:r>
        <w:rPr>
          <w:rFonts w:ascii="NewCenturySchlbk-Roman" w:hAnsi="NewCenturySchlbk-Roman" w:cs="NewCenturySchlbk-Roman"/>
          <w:sz w:val="20"/>
          <w:szCs w:val="20"/>
        </w:rPr>
        <w:t xml:space="preserve"> </w:t>
      </w:r>
      <w:r>
        <w:rPr>
          <w:rFonts w:ascii="NewCenturySchlbk-Roman" w:hAnsi="NewCenturySchlbk-Roman" w:cs="NewCenturySchlbk-Roman"/>
          <w:sz w:val="20"/>
          <w:szCs w:val="20"/>
        </w:rPr>
        <w:t>(b).</w:t>
      </w:r>
    </w:p>
    <w:sectPr w:rsidR="000905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CenturySchlbk-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ewCenturySchlbk-Roma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5CC"/>
    <w:rsid w:val="00090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B0F65"/>
  <w15:chartTrackingRefBased/>
  <w15:docId w15:val="{D32FE306-3A2F-4713-AD86-DB82B3763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558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Regan</dc:creator>
  <cp:keywords/>
  <dc:description/>
  <cp:lastModifiedBy>Mark Regan</cp:lastModifiedBy>
  <cp:revision>1</cp:revision>
  <dcterms:created xsi:type="dcterms:W3CDTF">2021-05-18T22:22:00Z</dcterms:created>
  <dcterms:modified xsi:type="dcterms:W3CDTF">2021-05-18T22:28:00Z</dcterms:modified>
</cp:coreProperties>
</file>