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9CD63" w14:textId="27A1828C" w:rsidR="009F7285" w:rsidRPr="00C55E49" w:rsidRDefault="003B42F6" w:rsidP="00C55E49">
      <w:pPr>
        <w:jc w:val="center"/>
        <w:rPr>
          <w:rFonts w:cstheme="minorHAnsi"/>
          <w:u w:val="single"/>
        </w:rPr>
      </w:pPr>
      <w:r w:rsidRPr="00C55E49">
        <w:rPr>
          <w:rFonts w:cstheme="minorHAnsi"/>
          <w:u w:val="single"/>
        </w:rPr>
        <w:t>The CDC eviction moratorium</w:t>
      </w:r>
    </w:p>
    <w:p w14:paraId="372ADF89" w14:textId="0F9D20CC" w:rsidR="00C55E49" w:rsidRPr="00C55E49" w:rsidRDefault="00C55E49">
      <w:pPr>
        <w:rPr>
          <w:rFonts w:cstheme="minorHAnsi"/>
        </w:rPr>
      </w:pPr>
      <w:r w:rsidRPr="00C55E49">
        <w:rPr>
          <w:rFonts w:cstheme="minorHAnsi"/>
        </w:rPr>
        <w:t xml:space="preserve">Conceivably as early as </w:t>
      </w:r>
      <w:r w:rsidR="00E12AB4">
        <w:rPr>
          <w:rFonts w:cstheme="minorHAnsi"/>
        </w:rPr>
        <w:t>its</w:t>
      </w:r>
      <w:r w:rsidRPr="00C55E49">
        <w:rPr>
          <w:rFonts w:cstheme="minorHAnsi"/>
        </w:rPr>
        <w:t xml:space="preserve"> June 14 orders list, the Supreme Court will decide whether to lift a stay that keeps in place the CDC’s eviction moratorium.  Here is a relatively detailed account of how </w:t>
      </w:r>
      <w:proofErr w:type="gramStart"/>
      <w:r w:rsidRPr="00C55E49">
        <w:rPr>
          <w:rFonts w:cstheme="minorHAnsi"/>
        </w:rPr>
        <w:t>we’ve</w:t>
      </w:r>
      <w:proofErr w:type="gramEnd"/>
      <w:r w:rsidRPr="00C55E49">
        <w:rPr>
          <w:rFonts w:cstheme="minorHAnsi"/>
        </w:rPr>
        <w:t xml:space="preserve"> gotten to this point. </w:t>
      </w:r>
      <w:r w:rsidR="00E12AB4">
        <w:rPr>
          <w:rFonts w:cstheme="minorHAnsi"/>
        </w:rPr>
        <w:t xml:space="preserve"> First, where things stand, the weekend of June 12; second, the statutes that apply to the moratorium; third, the court cases beyond the case currently at the Supreme Court.</w:t>
      </w:r>
    </w:p>
    <w:p w14:paraId="1A6F6A48" w14:textId="574CC4E8" w:rsidR="00295E6A" w:rsidRPr="00C55E49" w:rsidRDefault="00295E6A">
      <w:pPr>
        <w:rPr>
          <w:rFonts w:cstheme="minorHAnsi"/>
          <w:u w:val="single"/>
        </w:rPr>
      </w:pPr>
      <w:r w:rsidRPr="00C55E49">
        <w:rPr>
          <w:rFonts w:cstheme="minorHAnsi"/>
          <w:u w:val="single"/>
        </w:rPr>
        <w:t xml:space="preserve">Where things stand, the weekend of June </w:t>
      </w:r>
      <w:proofErr w:type="gramStart"/>
      <w:r w:rsidRPr="00C55E49">
        <w:rPr>
          <w:rFonts w:cstheme="minorHAnsi"/>
          <w:u w:val="single"/>
        </w:rPr>
        <w:t>12</w:t>
      </w:r>
      <w:proofErr w:type="gramEnd"/>
    </w:p>
    <w:p w14:paraId="7A1A094D" w14:textId="118196AB" w:rsidR="00295E6A" w:rsidRPr="00C55E49" w:rsidRDefault="00295E6A">
      <w:pPr>
        <w:rPr>
          <w:rFonts w:cstheme="minorHAnsi"/>
        </w:rPr>
      </w:pPr>
      <w:r w:rsidRPr="00C55E49">
        <w:rPr>
          <w:rFonts w:cstheme="minorHAnsi"/>
        </w:rPr>
        <w:t xml:space="preserve">Since </w:t>
      </w:r>
      <w:r w:rsidR="008D6CD2">
        <w:rPr>
          <w:rFonts w:cstheme="minorHAnsi"/>
        </w:rPr>
        <w:t xml:space="preserve">last </w:t>
      </w:r>
      <w:r w:rsidRPr="00C55E49">
        <w:rPr>
          <w:rFonts w:cstheme="minorHAnsi"/>
        </w:rPr>
        <w:t xml:space="preserve">Thursday afternoon, June 10, the Supreme Court has been considering an application from the Alabama Association of Realtors to reverse a D.C. Circuit ruling upholding Judge Dabney Friedrich’s stay of her own order vacating the CDC’s eviction moratorium.  No. 20A169.  Judge Friedrich had determined that the eviction moratorium should be vacated </w:t>
      </w:r>
      <w:r w:rsidR="00C55E49" w:rsidRPr="00C55E49">
        <w:rPr>
          <w:rFonts w:cstheme="minorHAnsi"/>
        </w:rPr>
        <w:t xml:space="preserve">on a nationwide basis </w:t>
      </w:r>
      <w:r w:rsidRPr="00C55E49">
        <w:rPr>
          <w:rFonts w:cstheme="minorHAnsi"/>
        </w:rPr>
        <w:t>but that the equities supported a stay:</w:t>
      </w:r>
    </w:p>
    <w:p w14:paraId="7FA8AB4F" w14:textId="02C7A299" w:rsidR="00295E6A" w:rsidRPr="00C55E49" w:rsidRDefault="00295E6A">
      <w:pPr>
        <w:rPr>
          <w:rFonts w:cstheme="minorHAnsi"/>
        </w:rPr>
      </w:pPr>
      <w:r w:rsidRPr="00C55E49">
        <w:rPr>
          <w:rStyle w:val="Emphasis"/>
          <w:rFonts w:cstheme="minorHAnsi"/>
        </w:rPr>
        <w:t xml:space="preserve">Alabama </w:t>
      </w:r>
      <w:proofErr w:type="spellStart"/>
      <w:r w:rsidRPr="00C55E49">
        <w:rPr>
          <w:rStyle w:val="Emphasis"/>
          <w:rFonts w:cstheme="minorHAnsi"/>
        </w:rPr>
        <w:t>Ass’n</w:t>
      </w:r>
      <w:proofErr w:type="spellEnd"/>
      <w:r w:rsidRPr="00C55E49">
        <w:rPr>
          <w:rStyle w:val="Emphasis"/>
          <w:rFonts w:cstheme="minorHAnsi"/>
        </w:rPr>
        <w:t xml:space="preserve"> of Realtors v. U.S. D.H.H.S.</w:t>
      </w:r>
      <w:r w:rsidRPr="00C55E49">
        <w:rPr>
          <w:rFonts w:cstheme="minorHAnsi"/>
        </w:rPr>
        <w:t>, No. 1:20-cv-3377 (D. D.C.)</w:t>
      </w:r>
    </w:p>
    <w:p w14:paraId="64D57434" w14:textId="77777777" w:rsidR="00295E6A" w:rsidRPr="00C55E49" w:rsidRDefault="00295E6A" w:rsidP="00295E6A">
      <w:pPr>
        <w:pStyle w:val="NormalWeb"/>
        <w:ind w:left="720"/>
        <w:rPr>
          <w:rFonts w:asciiTheme="minorHAnsi" w:hAnsiTheme="minorHAnsi" w:cstheme="minorHAnsi"/>
          <w:sz w:val="22"/>
          <w:szCs w:val="22"/>
        </w:rPr>
      </w:pPr>
      <w:r w:rsidRPr="00C55E49">
        <w:rPr>
          <w:rFonts w:asciiTheme="minorHAnsi" w:hAnsiTheme="minorHAnsi" w:cstheme="minorHAnsi"/>
          <w:sz w:val="22"/>
          <w:szCs w:val="22"/>
        </w:rPr>
        <w:t>Opinion, May 5, 2021</w:t>
      </w:r>
    </w:p>
    <w:p w14:paraId="6BD7CF3F" w14:textId="77777777" w:rsidR="00295E6A" w:rsidRPr="00C55E49" w:rsidRDefault="00295E6A" w:rsidP="00295E6A">
      <w:pPr>
        <w:pStyle w:val="NormalWeb"/>
        <w:ind w:left="720"/>
        <w:rPr>
          <w:rFonts w:asciiTheme="minorHAnsi" w:hAnsiTheme="minorHAnsi" w:cstheme="minorHAnsi"/>
          <w:sz w:val="22"/>
          <w:szCs w:val="22"/>
        </w:rPr>
      </w:pPr>
      <w:hyperlink r:id="rId5" w:tooltip="7114760-0--88370" w:history="1">
        <w:r w:rsidRPr="00C55E49">
          <w:rPr>
            <w:rStyle w:val="Hyperlink"/>
            <w:rFonts w:asciiTheme="minorHAnsi" w:hAnsiTheme="minorHAnsi" w:cstheme="minorHAnsi"/>
            <w:sz w:val="22"/>
            <w:szCs w:val="22"/>
          </w:rPr>
          <w:t>7114760-0–88370</w:t>
        </w:r>
      </w:hyperlink>
    </w:p>
    <w:p w14:paraId="5136945A" w14:textId="77777777" w:rsidR="00295E6A" w:rsidRPr="00C55E49" w:rsidRDefault="00295E6A" w:rsidP="00295E6A">
      <w:pPr>
        <w:pStyle w:val="NormalWeb"/>
        <w:ind w:left="720"/>
        <w:rPr>
          <w:rFonts w:asciiTheme="minorHAnsi" w:hAnsiTheme="minorHAnsi" w:cstheme="minorHAnsi"/>
          <w:sz w:val="22"/>
          <w:szCs w:val="22"/>
        </w:rPr>
      </w:pPr>
      <w:r w:rsidRPr="00C55E49">
        <w:rPr>
          <w:rFonts w:asciiTheme="minorHAnsi" w:hAnsiTheme="minorHAnsi" w:cstheme="minorHAnsi"/>
          <w:sz w:val="22"/>
          <w:szCs w:val="22"/>
        </w:rPr>
        <w:t>Order, May 5, 2021</w:t>
      </w:r>
    </w:p>
    <w:p w14:paraId="35E63343" w14:textId="77777777" w:rsidR="00295E6A" w:rsidRPr="00C55E49" w:rsidRDefault="00295E6A" w:rsidP="00295E6A">
      <w:pPr>
        <w:pStyle w:val="NormalWeb"/>
        <w:ind w:left="720"/>
        <w:rPr>
          <w:rFonts w:asciiTheme="minorHAnsi" w:hAnsiTheme="minorHAnsi" w:cstheme="minorHAnsi"/>
          <w:sz w:val="22"/>
          <w:szCs w:val="22"/>
        </w:rPr>
      </w:pPr>
      <w:hyperlink r:id="rId6" w:tooltip="7114736-0--88125" w:history="1">
        <w:r w:rsidRPr="00C55E49">
          <w:rPr>
            <w:rStyle w:val="Hyperlink"/>
            <w:rFonts w:asciiTheme="minorHAnsi" w:hAnsiTheme="minorHAnsi" w:cstheme="minorHAnsi"/>
            <w:sz w:val="22"/>
            <w:szCs w:val="22"/>
          </w:rPr>
          <w:t>7114736-0–88125</w:t>
        </w:r>
      </w:hyperlink>
    </w:p>
    <w:tbl>
      <w:tblPr>
        <w:tblW w:w="4950" w:type="pct"/>
        <w:jc w:val="center"/>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1470"/>
        <w:gridCol w:w="200"/>
        <w:gridCol w:w="7581"/>
      </w:tblGrid>
      <w:tr w:rsidR="00295E6A" w:rsidRPr="00295E6A" w14:paraId="7A906D6C" w14:textId="77777777" w:rsidTr="00295E6A">
        <w:trPr>
          <w:tblCellSpacing w:w="0" w:type="dxa"/>
          <w:jc w:val="center"/>
        </w:trPr>
        <w:tc>
          <w:tcPr>
            <w:tcW w:w="1440" w:type="dxa"/>
            <w:tcBorders>
              <w:top w:val="outset" w:sz="6" w:space="0" w:color="auto"/>
              <w:left w:val="outset" w:sz="6" w:space="0" w:color="auto"/>
              <w:bottom w:val="outset" w:sz="6" w:space="0" w:color="auto"/>
              <w:right w:val="outset" w:sz="6" w:space="0" w:color="auto"/>
            </w:tcBorders>
            <w:noWrap/>
            <w:hideMark/>
          </w:tcPr>
          <w:p w14:paraId="7CA0F67A" w14:textId="77777777" w:rsidR="00295E6A" w:rsidRPr="00295E6A" w:rsidRDefault="00295E6A" w:rsidP="00295E6A">
            <w:pPr>
              <w:spacing w:after="0" w:line="240" w:lineRule="auto"/>
              <w:rPr>
                <w:rFonts w:eastAsia="Times New Roman" w:cstheme="minorHAnsi"/>
              </w:rPr>
            </w:pPr>
            <w:r w:rsidRPr="00295E6A">
              <w:rPr>
                <w:rFonts w:eastAsia="Times New Roman" w:cstheme="minorHAnsi"/>
              </w:rPr>
              <w:t>05/05/2021</w:t>
            </w:r>
          </w:p>
        </w:tc>
        <w:tc>
          <w:tcPr>
            <w:tcW w:w="0" w:type="auto"/>
            <w:tcBorders>
              <w:top w:val="outset" w:sz="6" w:space="0" w:color="auto"/>
              <w:left w:val="outset" w:sz="6" w:space="0" w:color="auto"/>
              <w:bottom w:val="outset" w:sz="6" w:space="0" w:color="auto"/>
              <w:right w:val="outset" w:sz="6" w:space="0" w:color="auto"/>
            </w:tcBorders>
            <w:hideMark/>
          </w:tcPr>
          <w:p w14:paraId="461C9703" w14:textId="77777777" w:rsidR="00295E6A" w:rsidRPr="00295E6A" w:rsidRDefault="00295E6A" w:rsidP="00295E6A">
            <w:pPr>
              <w:spacing w:after="0" w:line="240" w:lineRule="auto"/>
              <w:jc w:val="right"/>
              <w:rPr>
                <w:rFonts w:eastAsia="Times New Roman" w:cstheme="minorHAnsi"/>
              </w:rPr>
            </w:pPr>
            <w:r w:rsidRPr="00295E6A">
              <w:rPr>
                <w:rFonts w:eastAsia="Times New Roman" w:cstheme="minorHAnsi"/>
              </w:rPr>
              <w:t> </w:t>
            </w:r>
          </w:p>
        </w:tc>
        <w:tc>
          <w:tcPr>
            <w:tcW w:w="0" w:type="auto"/>
            <w:tcBorders>
              <w:top w:val="outset" w:sz="6" w:space="0" w:color="auto"/>
              <w:left w:val="outset" w:sz="6" w:space="0" w:color="auto"/>
              <w:bottom w:val="outset" w:sz="6" w:space="0" w:color="auto"/>
              <w:right w:val="outset" w:sz="6" w:space="0" w:color="auto"/>
            </w:tcBorders>
            <w:hideMark/>
          </w:tcPr>
          <w:p w14:paraId="51DA2F1F" w14:textId="77777777" w:rsidR="00295E6A" w:rsidRPr="00295E6A" w:rsidRDefault="00295E6A" w:rsidP="00295E6A">
            <w:pPr>
              <w:spacing w:after="0" w:line="240" w:lineRule="auto"/>
              <w:rPr>
                <w:rFonts w:eastAsia="Times New Roman" w:cstheme="minorHAnsi"/>
              </w:rPr>
            </w:pPr>
            <w:r w:rsidRPr="00295E6A">
              <w:rPr>
                <w:rFonts w:eastAsia="Times New Roman" w:cstheme="minorHAnsi"/>
              </w:rPr>
              <w:t xml:space="preserve">MINUTE ORDER. Before the Court is the defendants’ </w:t>
            </w:r>
            <w:hyperlink r:id="rId7" w:history="1">
              <w:r w:rsidRPr="00295E6A">
                <w:rPr>
                  <w:rFonts w:eastAsia="Times New Roman" w:cstheme="minorHAnsi"/>
                  <w:color w:val="0000FF"/>
                  <w:u w:val="single"/>
                </w:rPr>
                <w:t>57</w:t>
              </w:r>
            </w:hyperlink>
            <w:r w:rsidRPr="00295E6A">
              <w:rPr>
                <w:rFonts w:eastAsia="Times New Roman" w:cstheme="minorHAnsi"/>
              </w:rPr>
              <w:t xml:space="preserve"> Emergency Motion for a Stay Pending Appeal of this Court’s </w:t>
            </w:r>
            <w:hyperlink r:id="rId8" w:history="1">
              <w:r w:rsidRPr="00295E6A">
                <w:rPr>
                  <w:rFonts w:eastAsia="Times New Roman" w:cstheme="minorHAnsi"/>
                  <w:color w:val="0000FF"/>
                  <w:u w:val="single"/>
                </w:rPr>
                <w:t>53</w:t>
              </w:r>
            </w:hyperlink>
            <w:r w:rsidRPr="00295E6A">
              <w:rPr>
                <w:rFonts w:eastAsia="Times New Roman" w:cstheme="minorHAnsi"/>
              </w:rPr>
              <w:t xml:space="preserve"> May 5, 2021 Order vacating the national eviction moratorium at 86 Fed. Reg. 16,731. In this emergency motion, the defendants request an immediate administrative stay to give this Court time to consider and rule upon its motion to stay this case pending appeal. Alternatively, the defendants request that the Court stay its </w:t>
            </w:r>
            <w:hyperlink r:id="rId9" w:history="1">
              <w:r w:rsidRPr="00295E6A">
                <w:rPr>
                  <w:rFonts w:eastAsia="Times New Roman" w:cstheme="minorHAnsi"/>
                  <w:color w:val="0000FF"/>
                  <w:u w:val="single"/>
                </w:rPr>
                <w:t>53</w:t>
              </w:r>
            </w:hyperlink>
            <w:r w:rsidRPr="00295E6A">
              <w:rPr>
                <w:rFonts w:eastAsia="Times New Roman" w:cstheme="minorHAnsi"/>
              </w:rPr>
              <w:t xml:space="preserve"> May 5, </w:t>
            </w:r>
            <w:proofErr w:type="gramStart"/>
            <w:r w:rsidRPr="00295E6A">
              <w:rPr>
                <w:rFonts w:eastAsia="Times New Roman" w:cstheme="minorHAnsi"/>
              </w:rPr>
              <w:t>2021</w:t>
            </w:r>
            <w:proofErr w:type="gramEnd"/>
            <w:r w:rsidRPr="00295E6A">
              <w:rPr>
                <w:rFonts w:eastAsia="Times New Roman" w:cstheme="minorHAnsi"/>
              </w:rPr>
              <w:t xml:space="preserve"> Order as to all parties except for the plaintiffs. </w:t>
            </w:r>
            <w:proofErr w:type="spellStart"/>
            <w:r w:rsidRPr="00295E6A">
              <w:rPr>
                <w:rFonts w:eastAsia="Times New Roman" w:cstheme="minorHAnsi"/>
              </w:rPr>
              <w:t>Defs</w:t>
            </w:r>
            <w:proofErr w:type="spellEnd"/>
            <w:r w:rsidRPr="00295E6A">
              <w:rPr>
                <w:rFonts w:eastAsia="Times New Roman" w:cstheme="minorHAnsi"/>
              </w:rPr>
              <w:t xml:space="preserve">.’ Emergency Mot. for a Stay Pending Appeal at 1 n.1, 8-9, </w:t>
            </w:r>
            <w:proofErr w:type="spellStart"/>
            <w:r w:rsidRPr="00295E6A">
              <w:rPr>
                <w:rFonts w:eastAsia="Times New Roman" w:cstheme="minorHAnsi"/>
              </w:rPr>
              <w:t>Dkt</w:t>
            </w:r>
            <w:proofErr w:type="spellEnd"/>
            <w:r w:rsidRPr="00295E6A">
              <w:rPr>
                <w:rFonts w:eastAsia="Times New Roman" w:cstheme="minorHAnsi"/>
              </w:rPr>
              <w:t xml:space="preserve">. 57. Although the plaintiffs have not yet filed an opposition to the defendants’ motion, which was filed at 6:54 p.m. this evening, the defendants represent that the plaintiffs oppose the motion. Id. at 1 n.1. In order to give the Court time to consider the merits of the defendants’ </w:t>
            </w:r>
            <w:hyperlink r:id="rId10" w:history="1">
              <w:r w:rsidRPr="00295E6A">
                <w:rPr>
                  <w:rFonts w:eastAsia="Times New Roman" w:cstheme="minorHAnsi"/>
                  <w:color w:val="0000FF"/>
                  <w:u w:val="single"/>
                </w:rPr>
                <w:t>57</w:t>
              </w:r>
            </w:hyperlink>
            <w:r w:rsidRPr="00295E6A">
              <w:rPr>
                <w:rFonts w:eastAsia="Times New Roman" w:cstheme="minorHAnsi"/>
              </w:rPr>
              <w:t xml:space="preserve"> Emergency Motion for a Stay Pending Appeal, and the plaintiffs time to file an opposition to the motion, the Court will grant the defendants’ request for a temporary administrative </w:t>
            </w:r>
            <w:proofErr w:type="spellStart"/>
            <w:r w:rsidRPr="00295E6A">
              <w:rPr>
                <w:rFonts w:eastAsia="Times New Roman" w:cstheme="minorHAnsi"/>
              </w:rPr>
              <w:t>stay.This</w:t>
            </w:r>
            <w:proofErr w:type="spellEnd"/>
            <w:r w:rsidRPr="00295E6A">
              <w:rPr>
                <w:rFonts w:eastAsia="Times New Roman" w:cstheme="minorHAnsi"/>
              </w:rPr>
              <w:t xml:space="preserve"> Minute Order should not be construed in any way as a ruling on the merits of the defendants’ motion. The Court notes, however, that, as the Court has explained, see Mem. Op. at 19, </w:t>
            </w:r>
            <w:proofErr w:type="spellStart"/>
            <w:r w:rsidRPr="00295E6A">
              <w:rPr>
                <w:rFonts w:eastAsia="Times New Roman" w:cstheme="minorHAnsi"/>
              </w:rPr>
              <w:t>Dkt</w:t>
            </w:r>
            <w:proofErr w:type="spellEnd"/>
            <w:r w:rsidRPr="00295E6A">
              <w:rPr>
                <w:rFonts w:eastAsia="Times New Roman" w:cstheme="minorHAnsi"/>
              </w:rPr>
              <w:t xml:space="preserve">. 54, the law in this Circuit is clear: where a court concludes that an agency has exceeded its statutory authority, as this Court has done here, see Mem. Op. at 17, vacatur of the rule is the proper remedy in this Circuit. See </w:t>
            </w:r>
            <w:proofErr w:type="spellStart"/>
            <w:r w:rsidRPr="00295E6A">
              <w:rPr>
                <w:rFonts w:eastAsia="Times New Roman" w:cstheme="minorHAnsi"/>
              </w:rPr>
              <w:t>Nat’l</w:t>
            </w:r>
            <w:proofErr w:type="spellEnd"/>
            <w:r w:rsidRPr="00295E6A">
              <w:rPr>
                <w:rFonts w:eastAsia="Times New Roman" w:cstheme="minorHAnsi"/>
              </w:rPr>
              <w:t xml:space="preserve"> Mining </w:t>
            </w:r>
            <w:proofErr w:type="spellStart"/>
            <w:r w:rsidRPr="00295E6A">
              <w:rPr>
                <w:rFonts w:eastAsia="Times New Roman" w:cstheme="minorHAnsi"/>
              </w:rPr>
              <w:t>Ass’n</w:t>
            </w:r>
            <w:proofErr w:type="spellEnd"/>
            <w:r w:rsidRPr="00295E6A">
              <w:rPr>
                <w:rFonts w:eastAsia="Times New Roman" w:cstheme="minorHAnsi"/>
              </w:rPr>
              <w:t xml:space="preserve"> v. U.S. Army Corps of </w:t>
            </w:r>
            <w:proofErr w:type="spellStart"/>
            <w:r w:rsidRPr="00295E6A">
              <w:rPr>
                <w:rFonts w:eastAsia="Times New Roman" w:cstheme="minorHAnsi"/>
              </w:rPr>
              <w:t>Eng’rs</w:t>
            </w:r>
            <w:proofErr w:type="spellEnd"/>
            <w:r w:rsidRPr="00295E6A">
              <w:rPr>
                <w:rFonts w:eastAsia="Times New Roman" w:cstheme="minorHAnsi"/>
              </w:rPr>
              <w:t xml:space="preserve">, 145 F.3d 1399, 1409 (D.C. Cir. 1998). Based on this clear authority, courts in this Circuit do not restrict vacatur only to those plaintiffs before the Court. See, e.g., O.A. v. Trump, 404 F. Supp. 3d 109, 152-53 (D.D.C. 2019). Indeed, the government has been unable to </w:t>
            </w:r>
            <w:r w:rsidRPr="00295E6A">
              <w:rPr>
                <w:rFonts w:eastAsia="Times New Roman" w:cstheme="minorHAnsi"/>
              </w:rPr>
              <w:lastRenderedPageBreak/>
              <w:t xml:space="preserve">point to a single case in which a court in this Circuit has done so. See Mot. </w:t>
            </w:r>
            <w:proofErr w:type="spellStart"/>
            <w:r w:rsidRPr="00295E6A">
              <w:rPr>
                <w:rFonts w:eastAsia="Times New Roman" w:cstheme="minorHAnsi"/>
              </w:rPr>
              <w:t>Hr’g</w:t>
            </w:r>
            <w:proofErr w:type="spellEnd"/>
            <w:r w:rsidRPr="00295E6A">
              <w:rPr>
                <w:rFonts w:eastAsia="Times New Roman" w:cstheme="minorHAnsi"/>
              </w:rPr>
              <w:t xml:space="preserve"> Rough Tr. at 31. </w:t>
            </w:r>
          </w:p>
          <w:p w14:paraId="3A4E9AB8" w14:textId="77777777" w:rsidR="00295E6A" w:rsidRPr="00295E6A" w:rsidRDefault="00295E6A" w:rsidP="00295E6A">
            <w:pPr>
              <w:spacing w:before="100" w:beforeAutospacing="1" w:after="100" w:afterAutospacing="1" w:line="240" w:lineRule="auto"/>
              <w:rPr>
                <w:rFonts w:eastAsia="Times New Roman" w:cstheme="minorHAnsi"/>
              </w:rPr>
            </w:pPr>
            <w:r w:rsidRPr="00295E6A">
              <w:rPr>
                <w:rFonts w:eastAsia="Times New Roman" w:cstheme="minorHAnsi"/>
              </w:rPr>
              <w:t> </w:t>
            </w:r>
          </w:p>
          <w:p w14:paraId="7492523E" w14:textId="77777777" w:rsidR="00295E6A" w:rsidRPr="00295E6A" w:rsidRDefault="00295E6A" w:rsidP="00295E6A">
            <w:pPr>
              <w:spacing w:before="100" w:beforeAutospacing="1" w:after="100" w:afterAutospacing="1" w:line="240" w:lineRule="auto"/>
              <w:rPr>
                <w:rFonts w:eastAsia="Times New Roman" w:cstheme="minorHAnsi"/>
              </w:rPr>
            </w:pPr>
            <w:r w:rsidRPr="00295E6A">
              <w:rPr>
                <w:rFonts w:eastAsia="Times New Roman" w:cstheme="minorHAnsi"/>
              </w:rPr>
              <w:t xml:space="preserve">Accordingly, it is ORDERED that the Court’s </w:t>
            </w:r>
            <w:hyperlink r:id="rId11" w:history="1">
              <w:r w:rsidRPr="00295E6A">
                <w:rPr>
                  <w:rFonts w:eastAsia="Times New Roman" w:cstheme="minorHAnsi"/>
                  <w:color w:val="0000FF"/>
                  <w:u w:val="single"/>
                </w:rPr>
                <w:t>53</w:t>
              </w:r>
            </w:hyperlink>
            <w:r w:rsidRPr="00295E6A">
              <w:rPr>
                <w:rFonts w:eastAsia="Times New Roman" w:cstheme="minorHAnsi"/>
              </w:rPr>
              <w:t xml:space="preserve"> May 5, </w:t>
            </w:r>
            <w:proofErr w:type="gramStart"/>
            <w:r w:rsidRPr="00295E6A">
              <w:rPr>
                <w:rFonts w:eastAsia="Times New Roman" w:cstheme="minorHAnsi"/>
              </w:rPr>
              <w:t>2021</w:t>
            </w:r>
            <w:proofErr w:type="gramEnd"/>
            <w:r w:rsidRPr="00295E6A">
              <w:rPr>
                <w:rFonts w:eastAsia="Times New Roman" w:cstheme="minorHAnsi"/>
              </w:rPr>
              <w:t xml:space="preserve"> Order is administratively STAYED. It is further ORDERED that the plaintiffs shall file any opposition to the defendants’ motion on or before May 12, 2021, and the defendants shall file any reply within four days of the date the plaintiffs’ opposition is filed. So Ordered by Judge Dabney L. Friedrich on May 5, 2021. (lcdlf1)</w:t>
            </w:r>
          </w:p>
          <w:p w14:paraId="2C6A06B7" w14:textId="77777777" w:rsidR="00295E6A" w:rsidRPr="00295E6A" w:rsidRDefault="00295E6A" w:rsidP="00295E6A">
            <w:pPr>
              <w:spacing w:before="100" w:beforeAutospacing="1" w:after="100" w:afterAutospacing="1" w:line="240" w:lineRule="auto"/>
              <w:rPr>
                <w:rFonts w:eastAsia="Times New Roman" w:cstheme="minorHAnsi"/>
              </w:rPr>
            </w:pPr>
            <w:r w:rsidRPr="00295E6A">
              <w:rPr>
                <w:rFonts w:eastAsia="Times New Roman" w:cstheme="minorHAnsi"/>
              </w:rPr>
              <w:t>(Entered: 05/05/2021)</w:t>
            </w:r>
          </w:p>
        </w:tc>
      </w:tr>
    </w:tbl>
    <w:p w14:paraId="1545B6A3" w14:textId="77777777" w:rsidR="00295E6A" w:rsidRPr="00C55E49" w:rsidRDefault="00295E6A" w:rsidP="00295E6A">
      <w:pPr>
        <w:ind w:left="720"/>
        <w:rPr>
          <w:rFonts w:cstheme="minorHAnsi"/>
        </w:rPr>
      </w:pPr>
    </w:p>
    <w:p w14:paraId="140ECF48" w14:textId="77777777" w:rsidR="00DA7E7A" w:rsidRPr="00C55E49" w:rsidRDefault="00DA7E7A" w:rsidP="00DA7E7A">
      <w:pPr>
        <w:pStyle w:val="NormalWeb"/>
        <w:ind w:left="720"/>
        <w:rPr>
          <w:rFonts w:asciiTheme="minorHAnsi" w:hAnsiTheme="minorHAnsi" w:cstheme="minorHAnsi"/>
          <w:sz w:val="22"/>
          <w:szCs w:val="22"/>
        </w:rPr>
      </w:pPr>
      <w:r w:rsidRPr="00C55E49">
        <w:rPr>
          <w:rFonts w:asciiTheme="minorHAnsi" w:hAnsiTheme="minorHAnsi" w:cstheme="minorHAnsi"/>
          <w:sz w:val="22"/>
          <w:szCs w:val="22"/>
        </w:rPr>
        <w:t xml:space="preserve">Stay opinion and order, May 14, </w:t>
      </w:r>
      <w:proofErr w:type="gramStart"/>
      <w:r w:rsidRPr="00C55E49">
        <w:rPr>
          <w:rFonts w:asciiTheme="minorHAnsi" w:hAnsiTheme="minorHAnsi" w:cstheme="minorHAnsi"/>
          <w:sz w:val="22"/>
          <w:szCs w:val="22"/>
        </w:rPr>
        <w:t>2021</w:t>
      </w:r>
      <w:proofErr w:type="gramEnd"/>
    </w:p>
    <w:p w14:paraId="1732B834" w14:textId="77777777" w:rsidR="00DA7E7A" w:rsidRPr="00C55E49" w:rsidRDefault="00DA7E7A" w:rsidP="00DA7E7A">
      <w:pPr>
        <w:pStyle w:val="NormalWeb"/>
        <w:ind w:left="720"/>
        <w:rPr>
          <w:rFonts w:asciiTheme="minorHAnsi" w:hAnsiTheme="minorHAnsi" w:cstheme="minorHAnsi"/>
          <w:sz w:val="22"/>
          <w:szCs w:val="22"/>
        </w:rPr>
      </w:pPr>
      <w:hyperlink r:id="rId12" w:history="1">
        <w:r w:rsidRPr="00C55E49">
          <w:rPr>
            <w:rStyle w:val="Hyperlink"/>
            <w:rFonts w:asciiTheme="minorHAnsi" w:hAnsiTheme="minorHAnsi" w:cstheme="minorHAnsi"/>
            <w:sz w:val="22"/>
            <w:szCs w:val="22"/>
          </w:rPr>
          <w:t>7133241-</w:t>
        </w:r>
        <w:r w:rsidRPr="00C55E49">
          <w:rPr>
            <w:rStyle w:val="Hyperlink"/>
            <w:rFonts w:asciiTheme="minorHAnsi" w:hAnsiTheme="minorHAnsi" w:cstheme="minorHAnsi"/>
            <w:sz w:val="22"/>
            <w:szCs w:val="22"/>
          </w:rPr>
          <w:t>0–10043</w:t>
        </w:r>
      </w:hyperlink>
    </w:p>
    <w:p w14:paraId="0FD15B77" w14:textId="6DAE9D06" w:rsidR="00DA7E7A" w:rsidRPr="00C55E49" w:rsidRDefault="00DA7E7A" w:rsidP="00DA7E7A">
      <w:pPr>
        <w:pStyle w:val="NormalWeb"/>
        <w:ind w:left="720"/>
        <w:rPr>
          <w:rFonts w:asciiTheme="minorHAnsi" w:hAnsiTheme="minorHAnsi" w:cstheme="minorHAnsi"/>
          <w:sz w:val="22"/>
          <w:szCs w:val="22"/>
        </w:rPr>
      </w:pPr>
      <w:hyperlink r:id="rId13" w:history="1">
        <w:r w:rsidRPr="00C55E49">
          <w:rPr>
            <w:rStyle w:val="Hyperlink"/>
            <w:rFonts w:asciiTheme="minorHAnsi" w:hAnsiTheme="minorHAnsi" w:cstheme="minorHAnsi"/>
            <w:sz w:val="22"/>
            <w:szCs w:val="22"/>
          </w:rPr>
          <w:t>7133225-0–9774</w:t>
        </w:r>
      </w:hyperlink>
    </w:p>
    <w:p w14:paraId="5ECAE33E" w14:textId="7D67D1BC" w:rsidR="00DA7E7A" w:rsidRPr="00C55E49" w:rsidRDefault="00DA7E7A" w:rsidP="00E12AB4">
      <w:pPr>
        <w:pStyle w:val="NormalWeb"/>
        <w:ind w:left="720" w:right="720"/>
        <w:rPr>
          <w:rFonts w:asciiTheme="minorHAnsi" w:hAnsiTheme="minorHAnsi" w:cstheme="minorHAnsi"/>
          <w:sz w:val="22"/>
          <w:szCs w:val="22"/>
        </w:rPr>
      </w:pPr>
      <w:r w:rsidRPr="00C55E49">
        <w:rPr>
          <w:rFonts w:asciiTheme="minorHAnsi" w:hAnsiTheme="minorHAnsi" w:cstheme="minorHAnsi"/>
          <w:sz w:val="22"/>
          <w:szCs w:val="22"/>
        </w:rPr>
        <w:t>Weighing</w:t>
      </w:r>
      <w:r w:rsidRPr="00C55E49">
        <w:rPr>
          <w:rFonts w:asciiTheme="minorHAnsi" w:hAnsiTheme="minorHAnsi" w:cstheme="minorHAnsi"/>
          <w:sz w:val="22"/>
          <w:szCs w:val="22"/>
        </w:rPr>
        <w:t xml:space="preserve"> </w:t>
      </w:r>
      <w:r w:rsidRPr="00C55E49">
        <w:rPr>
          <w:rFonts w:asciiTheme="minorHAnsi" w:hAnsiTheme="minorHAnsi" w:cstheme="minorHAnsi"/>
          <w:sz w:val="22"/>
          <w:szCs w:val="22"/>
        </w:rPr>
        <w:t>each of the traditional stay factors, the Court will exercise its discretion to grant the Department’s Emergency Motion for Stay Pending Appeal.</w:t>
      </w:r>
      <w:r w:rsidRPr="00C55E49">
        <w:rPr>
          <w:rFonts w:asciiTheme="minorHAnsi" w:hAnsiTheme="minorHAnsi" w:cstheme="minorHAnsi"/>
          <w:sz w:val="22"/>
          <w:szCs w:val="22"/>
        </w:rPr>
        <w:t xml:space="preserve"> </w:t>
      </w:r>
      <w:r w:rsidRPr="00C55E49">
        <w:rPr>
          <w:rFonts w:asciiTheme="minorHAnsi" w:hAnsiTheme="minorHAnsi" w:cstheme="minorHAnsi"/>
          <w:sz w:val="22"/>
          <w:szCs w:val="22"/>
        </w:rPr>
        <w:t>Although the Court believes, as one Circuit has already held, see Tiger Lily, 992 F.3d at 524, there is not a</w:t>
      </w:r>
      <w:r w:rsidRPr="00C55E49">
        <w:rPr>
          <w:rFonts w:asciiTheme="minorHAnsi" w:hAnsiTheme="minorHAnsi" w:cstheme="minorHAnsi"/>
          <w:sz w:val="22"/>
          <w:szCs w:val="22"/>
        </w:rPr>
        <w:t xml:space="preserve"> </w:t>
      </w:r>
      <w:r w:rsidRPr="00C55E49">
        <w:rPr>
          <w:rFonts w:asciiTheme="minorHAnsi" w:hAnsiTheme="minorHAnsi" w:cstheme="minorHAnsi"/>
          <w:sz w:val="22"/>
          <w:szCs w:val="22"/>
        </w:rPr>
        <w:t>substantial likelihood the Department will succeed on appeal, the CDC’s nationwide eviction moratorium raises serious legal questions. The Department also has made a sufficiently strong showing as to the remaining factors to justify a stay</w:t>
      </w:r>
      <w:r w:rsidRPr="00C55E49">
        <w:rPr>
          <w:rFonts w:asciiTheme="minorHAnsi" w:hAnsiTheme="minorHAnsi" w:cstheme="minorHAnsi"/>
          <w:sz w:val="22"/>
          <w:szCs w:val="22"/>
        </w:rPr>
        <w:t xml:space="preserve"> </w:t>
      </w:r>
      <w:r w:rsidRPr="00C55E49">
        <w:rPr>
          <w:rFonts w:asciiTheme="minorHAnsi" w:hAnsiTheme="minorHAnsi" w:cstheme="minorHAnsi"/>
          <w:sz w:val="22"/>
          <w:szCs w:val="22"/>
        </w:rPr>
        <w:t>of this Court’s decision.</w:t>
      </w:r>
      <w:r w:rsidRPr="00C55E49">
        <w:rPr>
          <w:rFonts w:asciiTheme="minorHAnsi" w:hAnsiTheme="minorHAnsi" w:cstheme="minorHAnsi"/>
          <w:sz w:val="22"/>
          <w:szCs w:val="22"/>
        </w:rPr>
        <w:t xml:space="preserve"> </w:t>
      </w:r>
      <w:r w:rsidRPr="00C55E49">
        <w:rPr>
          <w:rFonts w:asciiTheme="minorHAnsi" w:hAnsiTheme="minorHAnsi" w:cstheme="minorHAnsi"/>
          <w:sz w:val="22"/>
          <w:szCs w:val="22"/>
        </w:rPr>
        <w:t>The Court remains mindful that landlords across the country have incurred substantial</w:t>
      </w:r>
      <w:r w:rsidRPr="00C55E49">
        <w:rPr>
          <w:rFonts w:asciiTheme="minorHAnsi" w:hAnsiTheme="minorHAnsi" w:cstheme="minorHAnsi"/>
          <w:sz w:val="22"/>
          <w:szCs w:val="22"/>
        </w:rPr>
        <w:t xml:space="preserve"> </w:t>
      </w:r>
      <w:r w:rsidRPr="00C55E49">
        <w:rPr>
          <w:rFonts w:asciiTheme="minorHAnsi" w:hAnsiTheme="minorHAnsi" w:cstheme="minorHAnsi"/>
          <w:sz w:val="22"/>
          <w:szCs w:val="22"/>
        </w:rPr>
        <w:t xml:space="preserve">economic hardships </w:t>
      </w:r>
      <w:proofErr w:type="gramStart"/>
      <w:r w:rsidRPr="00C55E49">
        <w:rPr>
          <w:rFonts w:asciiTheme="minorHAnsi" w:hAnsiTheme="minorHAnsi" w:cstheme="minorHAnsi"/>
          <w:sz w:val="22"/>
          <w:szCs w:val="22"/>
        </w:rPr>
        <w:t>as a result of</w:t>
      </w:r>
      <w:proofErr w:type="gramEnd"/>
      <w:r w:rsidRPr="00C55E49">
        <w:rPr>
          <w:rFonts w:asciiTheme="minorHAnsi" w:hAnsiTheme="minorHAnsi" w:cstheme="minorHAnsi"/>
          <w:sz w:val="22"/>
          <w:szCs w:val="22"/>
        </w:rPr>
        <w:t xml:space="preserve"> the CDC’s nationwide moratorium on evictions. The</w:t>
      </w:r>
      <w:r w:rsidRPr="00C55E49">
        <w:rPr>
          <w:rFonts w:asciiTheme="minorHAnsi" w:hAnsiTheme="minorHAnsi" w:cstheme="minorHAnsi"/>
          <w:sz w:val="22"/>
          <w:szCs w:val="22"/>
        </w:rPr>
        <w:t xml:space="preserve"> </w:t>
      </w:r>
      <w:r w:rsidRPr="00C55E49">
        <w:rPr>
          <w:rFonts w:asciiTheme="minorHAnsi" w:hAnsiTheme="minorHAnsi" w:cstheme="minorHAnsi"/>
          <w:sz w:val="22"/>
          <w:szCs w:val="22"/>
        </w:rPr>
        <w:t>longer the moratorium remains in effect, the</w:t>
      </w:r>
      <w:r w:rsidRPr="00C55E49">
        <w:rPr>
          <w:rFonts w:asciiTheme="minorHAnsi" w:hAnsiTheme="minorHAnsi" w:cstheme="minorHAnsi"/>
          <w:sz w:val="22"/>
          <w:szCs w:val="22"/>
        </w:rPr>
        <w:t xml:space="preserve"> </w:t>
      </w:r>
      <w:r w:rsidRPr="00C55E49">
        <w:rPr>
          <w:rFonts w:asciiTheme="minorHAnsi" w:hAnsiTheme="minorHAnsi" w:cstheme="minorHAnsi"/>
          <w:sz w:val="22"/>
          <w:szCs w:val="22"/>
        </w:rPr>
        <w:t>more these hardships will be exacerbated. Even so, given the public health consequences cited by the CDC, a stay</w:t>
      </w:r>
      <w:r w:rsidRPr="00C55E49">
        <w:rPr>
          <w:rFonts w:asciiTheme="minorHAnsi" w:hAnsiTheme="minorHAnsi" w:cstheme="minorHAnsi"/>
          <w:sz w:val="22"/>
          <w:szCs w:val="22"/>
        </w:rPr>
        <w:t xml:space="preserve"> </w:t>
      </w:r>
      <w:r w:rsidRPr="00C55E49">
        <w:rPr>
          <w:rFonts w:asciiTheme="minorHAnsi" w:hAnsiTheme="minorHAnsi" w:cstheme="minorHAnsi"/>
          <w:sz w:val="22"/>
          <w:szCs w:val="22"/>
        </w:rPr>
        <w:t>is warranted</w:t>
      </w:r>
      <w:r w:rsidR="00C55E49" w:rsidRPr="00C55E49">
        <w:rPr>
          <w:rFonts w:asciiTheme="minorHAnsi" w:hAnsiTheme="minorHAnsi" w:cstheme="minorHAnsi"/>
          <w:sz w:val="22"/>
          <w:szCs w:val="22"/>
        </w:rPr>
        <w:t>.</w:t>
      </w:r>
    </w:p>
    <w:p w14:paraId="2F3E9A46" w14:textId="5E137B3B" w:rsidR="00295E6A" w:rsidRDefault="00295E6A">
      <w:r>
        <w:t>A panel of the D.C. Circuit, in turn, had affirmed the stay, but on grounds suggesting that the CDC had a strong likelihood of success on the merits of the moratorium:</w:t>
      </w:r>
    </w:p>
    <w:p w14:paraId="4130BC67" w14:textId="0A7ED2CD" w:rsidR="00DA7E7A" w:rsidRPr="00C55E49" w:rsidRDefault="00DA7E7A" w:rsidP="00DA7E7A">
      <w:pPr>
        <w:ind w:left="720"/>
        <w:rPr>
          <w:rFonts w:cstheme="minorHAnsi"/>
        </w:rPr>
      </w:pPr>
      <w:r w:rsidRPr="00C55E49">
        <w:rPr>
          <w:rFonts w:cstheme="minorHAnsi"/>
        </w:rPr>
        <w:t>Or</w:t>
      </w:r>
      <w:r w:rsidRPr="00C55E49">
        <w:rPr>
          <w:rFonts w:cstheme="minorHAnsi"/>
          <w:color w:val="000080"/>
        </w:rPr>
        <w:t>der</w:t>
      </w:r>
      <w:r w:rsidRPr="00C55E49">
        <w:rPr>
          <w:rFonts w:cstheme="minorHAnsi"/>
          <w:color w:val="000080"/>
        </w:rPr>
        <w:t xml:space="preserve"> in No. 21-5093</w:t>
      </w:r>
      <w:r w:rsidRPr="00C55E49">
        <w:rPr>
          <w:rFonts w:cstheme="minorHAnsi"/>
          <w:color w:val="000080"/>
        </w:rPr>
        <w:t>, June 2, 2021</w:t>
      </w:r>
    </w:p>
    <w:p w14:paraId="05B89F9A" w14:textId="77777777" w:rsidR="00DA7E7A" w:rsidRPr="00C55E49" w:rsidRDefault="00DA7E7A" w:rsidP="00DA7E7A">
      <w:pPr>
        <w:pStyle w:val="NormalWeb"/>
        <w:ind w:left="720"/>
        <w:rPr>
          <w:rFonts w:asciiTheme="minorHAnsi" w:hAnsiTheme="minorHAnsi" w:cstheme="minorHAnsi"/>
          <w:sz w:val="22"/>
          <w:szCs w:val="22"/>
        </w:rPr>
      </w:pPr>
      <w:hyperlink r:id="rId14" w:tooltip="DCC order on stay 6 2 21" w:history="1">
        <w:r w:rsidRPr="00C55E49">
          <w:rPr>
            <w:rStyle w:val="Hyperlink"/>
            <w:rFonts w:asciiTheme="minorHAnsi" w:hAnsiTheme="minorHAnsi" w:cstheme="minorHAnsi"/>
            <w:color w:val="000080"/>
            <w:sz w:val="22"/>
            <w:szCs w:val="22"/>
          </w:rPr>
          <w:t>DCC order on stay 6 2 21</w:t>
        </w:r>
      </w:hyperlink>
    </w:p>
    <w:p w14:paraId="6863A93A" w14:textId="7CEB77CA" w:rsidR="00DA7E7A" w:rsidRPr="00C55E49" w:rsidRDefault="00DA7E7A" w:rsidP="00E12AB4">
      <w:pPr>
        <w:autoSpaceDE w:val="0"/>
        <w:autoSpaceDN w:val="0"/>
        <w:adjustRightInd w:val="0"/>
        <w:spacing w:after="0" w:line="240" w:lineRule="auto"/>
        <w:ind w:left="720" w:right="720"/>
        <w:rPr>
          <w:rFonts w:cstheme="minorHAnsi"/>
        </w:rPr>
      </w:pPr>
      <w:r w:rsidRPr="00C55E49">
        <w:rPr>
          <w:rFonts w:cstheme="minorHAnsi"/>
        </w:rPr>
        <w:t>As to the first factor, while of course not resolving the ultimate merits of the legal</w:t>
      </w:r>
      <w:r w:rsidR="00C55E49">
        <w:rPr>
          <w:rFonts w:cstheme="minorHAnsi"/>
        </w:rPr>
        <w:t xml:space="preserve"> </w:t>
      </w:r>
      <w:r w:rsidRPr="00C55E49">
        <w:rPr>
          <w:rFonts w:cstheme="minorHAnsi"/>
        </w:rPr>
        <w:t>question, we conclude that HHS has made a strong showing that it is likely to succeed</w:t>
      </w:r>
      <w:r w:rsidR="00C55E49">
        <w:rPr>
          <w:rFonts w:cstheme="minorHAnsi"/>
        </w:rPr>
        <w:t xml:space="preserve"> </w:t>
      </w:r>
      <w:r w:rsidRPr="00C55E49">
        <w:rPr>
          <w:rFonts w:cstheme="minorHAnsi"/>
        </w:rPr>
        <w:t xml:space="preserve">on the merits. See </w:t>
      </w:r>
      <w:proofErr w:type="spellStart"/>
      <w:r w:rsidRPr="00C55E49">
        <w:rPr>
          <w:rFonts w:cstheme="minorHAnsi"/>
        </w:rPr>
        <w:t>Nken</w:t>
      </w:r>
      <w:proofErr w:type="spellEnd"/>
      <w:r w:rsidRPr="00C55E49">
        <w:rPr>
          <w:rFonts w:cstheme="minorHAnsi"/>
        </w:rPr>
        <w:t>, 556 U.S. at 434. We do so for the following four reasons.</w:t>
      </w:r>
    </w:p>
    <w:p w14:paraId="582A0EC3" w14:textId="77777777" w:rsidR="00DA7E7A" w:rsidRPr="00C55E49" w:rsidRDefault="00DA7E7A" w:rsidP="00E12AB4">
      <w:pPr>
        <w:autoSpaceDE w:val="0"/>
        <w:autoSpaceDN w:val="0"/>
        <w:adjustRightInd w:val="0"/>
        <w:spacing w:after="0" w:line="240" w:lineRule="auto"/>
        <w:ind w:left="720" w:right="720"/>
        <w:rPr>
          <w:rFonts w:cstheme="minorHAnsi"/>
        </w:rPr>
      </w:pPr>
    </w:p>
    <w:p w14:paraId="794C177B" w14:textId="1B16E958" w:rsidR="00DA7E7A" w:rsidRPr="00C55E49" w:rsidRDefault="00DA7E7A" w:rsidP="00E12AB4">
      <w:pPr>
        <w:autoSpaceDE w:val="0"/>
        <w:autoSpaceDN w:val="0"/>
        <w:adjustRightInd w:val="0"/>
        <w:spacing w:after="0" w:line="240" w:lineRule="auto"/>
        <w:ind w:left="720" w:right="720"/>
        <w:rPr>
          <w:rFonts w:cstheme="minorHAnsi"/>
        </w:rPr>
      </w:pPr>
      <w:r w:rsidRPr="00C55E49">
        <w:rPr>
          <w:rFonts w:cstheme="minorHAnsi"/>
        </w:rPr>
        <w:t>First, the CDC’s eviction moratorium falls within the plain text of 42 U.S.C.</w:t>
      </w:r>
      <w:r w:rsidR="00C55E49">
        <w:rPr>
          <w:rFonts w:cstheme="minorHAnsi"/>
        </w:rPr>
        <w:t xml:space="preserve"> </w:t>
      </w:r>
      <w:r w:rsidRPr="00C55E49">
        <w:rPr>
          <w:rFonts w:cstheme="minorHAnsi"/>
        </w:rPr>
        <w:t>§ 264(a).</w:t>
      </w:r>
    </w:p>
    <w:p w14:paraId="732B0234" w14:textId="0259492F" w:rsidR="00DA7E7A" w:rsidRPr="00C55E49" w:rsidRDefault="00DA7E7A" w:rsidP="00E12AB4">
      <w:pPr>
        <w:ind w:left="720" w:right="720"/>
        <w:jc w:val="center"/>
        <w:rPr>
          <w:rFonts w:cstheme="minorHAnsi"/>
        </w:rPr>
      </w:pPr>
      <w:r w:rsidRPr="00C55E49">
        <w:rPr>
          <w:rFonts w:cstheme="minorHAnsi"/>
        </w:rPr>
        <w:t>* * *</w:t>
      </w:r>
    </w:p>
    <w:p w14:paraId="787BB254" w14:textId="5240B7D0" w:rsidR="00DA7E7A" w:rsidRPr="00C55E49" w:rsidRDefault="00DA7E7A" w:rsidP="00E12AB4">
      <w:pPr>
        <w:autoSpaceDE w:val="0"/>
        <w:autoSpaceDN w:val="0"/>
        <w:adjustRightInd w:val="0"/>
        <w:spacing w:after="0" w:line="240" w:lineRule="auto"/>
        <w:ind w:left="720" w:right="720"/>
        <w:rPr>
          <w:rFonts w:cstheme="minorHAnsi"/>
        </w:rPr>
      </w:pPr>
      <w:r w:rsidRPr="00C55E49">
        <w:rPr>
          <w:rFonts w:cstheme="minorHAnsi"/>
        </w:rPr>
        <w:lastRenderedPageBreak/>
        <w:t>Second, Congress has expressly recognized that the agency had the authority to</w:t>
      </w:r>
      <w:r w:rsidR="00C55E49">
        <w:rPr>
          <w:rFonts w:cstheme="minorHAnsi"/>
        </w:rPr>
        <w:t xml:space="preserve"> </w:t>
      </w:r>
      <w:r w:rsidRPr="00C55E49">
        <w:rPr>
          <w:rFonts w:cstheme="minorHAnsi"/>
        </w:rPr>
        <w:t>issue its narrowly crafted moratorium under Section 264. Last December, rather than</w:t>
      </w:r>
      <w:r w:rsidR="00C55E49">
        <w:rPr>
          <w:rFonts w:cstheme="minorHAnsi"/>
        </w:rPr>
        <w:t xml:space="preserve"> </w:t>
      </w:r>
      <w:r w:rsidRPr="00C55E49">
        <w:rPr>
          <w:rFonts w:cstheme="minorHAnsi"/>
        </w:rPr>
        <w:t>enact its own moratorium, Congress deliberately chose legislatively to extend the HHS</w:t>
      </w:r>
      <w:r w:rsidR="00C55E49">
        <w:rPr>
          <w:rFonts w:cstheme="minorHAnsi"/>
        </w:rPr>
        <w:t xml:space="preserve"> </w:t>
      </w:r>
      <w:r w:rsidRPr="00C55E49">
        <w:rPr>
          <w:rFonts w:cstheme="minorHAnsi"/>
        </w:rPr>
        <w:t>moratorium and, in doing so, specifically to embrace HHS’s action “under section 361 of</w:t>
      </w:r>
      <w:r w:rsidR="00C55E49">
        <w:rPr>
          <w:rFonts w:cstheme="minorHAnsi"/>
        </w:rPr>
        <w:t xml:space="preserve"> </w:t>
      </w:r>
      <w:r w:rsidRPr="00C55E49">
        <w:rPr>
          <w:rFonts w:cstheme="minorHAnsi"/>
        </w:rPr>
        <w:t xml:space="preserve">the Public Health Service Act (42 U.S.C. </w:t>
      </w:r>
      <w:proofErr w:type="gramStart"/>
      <w:r w:rsidRPr="00C55E49">
        <w:rPr>
          <w:rFonts w:cstheme="minorHAnsi"/>
        </w:rPr>
        <w:t>264)[.]</w:t>
      </w:r>
      <w:proofErr w:type="gramEnd"/>
      <w:r w:rsidRPr="00C55E49">
        <w:rPr>
          <w:rFonts w:cstheme="minorHAnsi"/>
        </w:rPr>
        <w:t>” Consolidated Appropriations Act,</w:t>
      </w:r>
      <w:r w:rsidR="00C55E49">
        <w:rPr>
          <w:rFonts w:cstheme="minorHAnsi"/>
        </w:rPr>
        <w:t xml:space="preserve"> </w:t>
      </w:r>
      <w:r w:rsidRPr="00C55E49">
        <w:rPr>
          <w:rFonts w:cstheme="minorHAnsi"/>
        </w:rPr>
        <w:t>2021, Pub. L. No. 116-260, div. N, title V, § 502, 134 Stat. 1182, 2078–79 (Dec. 27,</w:t>
      </w:r>
    </w:p>
    <w:p w14:paraId="3C7527D8" w14:textId="250EE590" w:rsidR="00DA7E7A" w:rsidRPr="00C55E49" w:rsidRDefault="00DA7E7A" w:rsidP="00E12AB4">
      <w:pPr>
        <w:autoSpaceDE w:val="0"/>
        <w:autoSpaceDN w:val="0"/>
        <w:adjustRightInd w:val="0"/>
        <w:spacing w:after="0" w:line="240" w:lineRule="auto"/>
        <w:ind w:left="720" w:right="720"/>
        <w:rPr>
          <w:rFonts w:cstheme="minorHAnsi"/>
        </w:rPr>
      </w:pPr>
      <w:r w:rsidRPr="00C55E49">
        <w:rPr>
          <w:rFonts w:cstheme="minorHAnsi"/>
        </w:rPr>
        <w:t>2020).</w:t>
      </w:r>
    </w:p>
    <w:p w14:paraId="47898A3F" w14:textId="77777777" w:rsidR="00DA7E7A" w:rsidRPr="00C55E49" w:rsidRDefault="00DA7E7A" w:rsidP="00E12AB4">
      <w:pPr>
        <w:autoSpaceDE w:val="0"/>
        <w:autoSpaceDN w:val="0"/>
        <w:adjustRightInd w:val="0"/>
        <w:spacing w:after="0" w:line="240" w:lineRule="auto"/>
        <w:ind w:left="720" w:right="720"/>
        <w:rPr>
          <w:rFonts w:cstheme="minorHAnsi"/>
        </w:rPr>
      </w:pPr>
    </w:p>
    <w:p w14:paraId="365800BE" w14:textId="52AB78E6" w:rsidR="00DA7E7A" w:rsidRPr="00C55E49" w:rsidRDefault="00DA7E7A" w:rsidP="00E12AB4">
      <w:pPr>
        <w:autoSpaceDE w:val="0"/>
        <w:autoSpaceDN w:val="0"/>
        <w:adjustRightInd w:val="0"/>
        <w:spacing w:after="0" w:line="240" w:lineRule="auto"/>
        <w:ind w:left="720" w:right="720"/>
        <w:rPr>
          <w:rFonts w:cstheme="minorHAnsi"/>
        </w:rPr>
      </w:pPr>
      <w:r w:rsidRPr="00C55E49">
        <w:rPr>
          <w:rFonts w:cstheme="minorHAnsi"/>
        </w:rPr>
        <w:t>Third, the text and structure of Section 264’s additional provisions—beyond the</w:t>
      </w:r>
      <w:r w:rsidR="00C55E49">
        <w:rPr>
          <w:rFonts w:cstheme="minorHAnsi"/>
        </w:rPr>
        <w:t xml:space="preserve"> </w:t>
      </w:r>
      <w:r w:rsidRPr="00C55E49">
        <w:rPr>
          <w:rFonts w:cstheme="minorHAnsi"/>
        </w:rPr>
        <w:t>core statutory authority to take action “necessary” to “prevent the introduction,</w:t>
      </w:r>
      <w:r w:rsidR="00C55E49">
        <w:rPr>
          <w:rFonts w:cstheme="minorHAnsi"/>
        </w:rPr>
        <w:t xml:space="preserve"> </w:t>
      </w:r>
      <w:r w:rsidRPr="00C55E49">
        <w:rPr>
          <w:rFonts w:cstheme="minorHAnsi"/>
        </w:rPr>
        <w:t>transmission, or spread of communicable diseases” interstate and</w:t>
      </w:r>
      <w:r w:rsidR="00C55E49">
        <w:rPr>
          <w:rFonts w:cstheme="minorHAnsi"/>
        </w:rPr>
        <w:t xml:space="preserve"> </w:t>
      </w:r>
      <w:r w:rsidRPr="00C55E49">
        <w:rPr>
          <w:rFonts w:cstheme="minorHAnsi"/>
        </w:rPr>
        <w:t>internationally—reinforce HHS’s authority to temporarily suspend evictions.</w:t>
      </w:r>
    </w:p>
    <w:p w14:paraId="6DBDE5FF" w14:textId="78695BC0" w:rsidR="00DA7E7A" w:rsidRPr="00C55E49" w:rsidRDefault="00DA7E7A" w:rsidP="00E12AB4">
      <w:pPr>
        <w:ind w:left="720" w:right="720"/>
        <w:jc w:val="center"/>
        <w:rPr>
          <w:rFonts w:cstheme="minorHAnsi"/>
        </w:rPr>
      </w:pPr>
      <w:r w:rsidRPr="00C55E49">
        <w:rPr>
          <w:rFonts w:cstheme="minorHAnsi"/>
        </w:rPr>
        <w:t>* * *</w:t>
      </w:r>
    </w:p>
    <w:p w14:paraId="205C7F03" w14:textId="5D7DDDEB" w:rsidR="00C55E49" w:rsidRPr="00C55E49" w:rsidRDefault="00C55E49" w:rsidP="00E12AB4">
      <w:pPr>
        <w:autoSpaceDE w:val="0"/>
        <w:autoSpaceDN w:val="0"/>
        <w:adjustRightInd w:val="0"/>
        <w:spacing w:after="0" w:line="240" w:lineRule="auto"/>
        <w:ind w:left="720" w:right="720"/>
        <w:rPr>
          <w:rFonts w:cstheme="minorHAnsi"/>
        </w:rPr>
      </w:pPr>
      <w:r w:rsidRPr="00C55E49">
        <w:rPr>
          <w:rFonts w:cstheme="minorHAnsi"/>
        </w:rPr>
        <w:t>Fourth, HHS is likely to succeed notwithstanding the Appellees’ other</w:t>
      </w:r>
      <w:r w:rsidRPr="00C55E49">
        <w:rPr>
          <w:rFonts w:cstheme="minorHAnsi"/>
        </w:rPr>
        <w:t xml:space="preserve"> </w:t>
      </w:r>
      <w:r w:rsidRPr="00C55E49">
        <w:rPr>
          <w:rFonts w:cstheme="minorHAnsi"/>
        </w:rPr>
        <w:t>statutory-construction arguments. Appellees suggest that a moratorium reaching rental</w:t>
      </w:r>
      <w:r>
        <w:rPr>
          <w:rFonts w:cstheme="minorHAnsi"/>
        </w:rPr>
        <w:t xml:space="preserve"> </w:t>
      </w:r>
      <w:r w:rsidRPr="00C55E49">
        <w:rPr>
          <w:rFonts w:cstheme="minorHAnsi"/>
        </w:rPr>
        <w:t>property should be narrowly construed to avoid intrusion on “an area traditionally left to</w:t>
      </w:r>
      <w:r>
        <w:rPr>
          <w:rFonts w:cstheme="minorHAnsi"/>
        </w:rPr>
        <w:t xml:space="preserve"> </w:t>
      </w:r>
      <w:r w:rsidRPr="00C55E49">
        <w:rPr>
          <w:rFonts w:cstheme="minorHAnsi"/>
        </w:rPr>
        <w:t>the States.” Appellant Br. 13. But Congress has well-established authority to regulate</w:t>
      </w:r>
      <w:r>
        <w:rPr>
          <w:rFonts w:cstheme="minorHAnsi"/>
        </w:rPr>
        <w:t xml:space="preserve"> </w:t>
      </w:r>
      <w:r w:rsidRPr="00C55E49">
        <w:rPr>
          <w:rFonts w:cstheme="minorHAnsi"/>
        </w:rPr>
        <w:t xml:space="preserve">rental housing transactions because they “substantially </w:t>
      </w:r>
      <w:proofErr w:type="gramStart"/>
      <w:r w:rsidRPr="00C55E49">
        <w:rPr>
          <w:rFonts w:cstheme="minorHAnsi"/>
        </w:rPr>
        <w:t>affect[</w:t>
      </w:r>
      <w:proofErr w:type="gramEnd"/>
      <w:r w:rsidRPr="00C55E49">
        <w:rPr>
          <w:rFonts w:cstheme="minorHAnsi"/>
        </w:rPr>
        <w:t>]” interstate commerce.</w:t>
      </w:r>
      <w:r>
        <w:rPr>
          <w:rFonts w:cstheme="minorHAnsi"/>
        </w:rPr>
        <w:t xml:space="preserve"> </w:t>
      </w:r>
      <w:r w:rsidRPr="00C55E49">
        <w:rPr>
          <w:rFonts w:cstheme="minorHAnsi"/>
        </w:rPr>
        <w:t>Rancho Viejo, LLC v. Norton, 323 F.3d 1062, 1066, 1068–70 (D.C. Cir. 2003) (quoting</w:t>
      </w:r>
      <w:r>
        <w:rPr>
          <w:rFonts w:cstheme="minorHAnsi"/>
        </w:rPr>
        <w:t xml:space="preserve"> </w:t>
      </w:r>
      <w:r w:rsidRPr="00C55E49">
        <w:rPr>
          <w:rFonts w:cstheme="minorHAnsi"/>
        </w:rPr>
        <w:t>United States v. Lopez, 514 U.S. 549, 558-59 (1995)); see Russell v. United States,</w:t>
      </w:r>
      <w:r>
        <w:rPr>
          <w:rFonts w:cstheme="minorHAnsi"/>
        </w:rPr>
        <w:t xml:space="preserve"> </w:t>
      </w:r>
      <w:r w:rsidRPr="00C55E49">
        <w:rPr>
          <w:rFonts w:cstheme="minorHAnsi"/>
        </w:rPr>
        <w:t>471 U.S. 858, 862 (1985). Tellingly, under appellees’ Commerce Clause theory, even</w:t>
      </w:r>
      <w:r>
        <w:rPr>
          <w:rFonts w:cstheme="minorHAnsi"/>
        </w:rPr>
        <w:t xml:space="preserve"> </w:t>
      </w:r>
      <w:r w:rsidRPr="00C55E49">
        <w:rPr>
          <w:rFonts w:cstheme="minorHAnsi"/>
        </w:rPr>
        <w:t xml:space="preserve">Congress’s extension of the moratorium was </w:t>
      </w:r>
      <w:proofErr w:type="gramStart"/>
      <w:r w:rsidRPr="00C55E49">
        <w:rPr>
          <w:rFonts w:cstheme="minorHAnsi"/>
        </w:rPr>
        <w:t>unconstitutional—a</w:t>
      </w:r>
      <w:proofErr w:type="gramEnd"/>
      <w:r w:rsidRPr="00C55E49">
        <w:rPr>
          <w:rFonts w:cstheme="minorHAnsi"/>
        </w:rPr>
        <w:t xml:space="preserve"> point that Appellees</w:t>
      </w:r>
      <w:r>
        <w:rPr>
          <w:rFonts w:cstheme="minorHAnsi"/>
        </w:rPr>
        <w:t xml:space="preserve"> </w:t>
      </w:r>
      <w:r w:rsidRPr="00C55E49">
        <w:rPr>
          <w:rFonts w:cstheme="minorHAnsi"/>
        </w:rPr>
        <w:t>do not even acknowledge, let alone answer.</w:t>
      </w:r>
    </w:p>
    <w:p w14:paraId="6E2AD5EF" w14:textId="77777777" w:rsidR="00C55E49" w:rsidRPr="00C55E49" w:rsidRDefault="00C55E49" w:rsidP="00E12AB4">
      <w:pPr>
        <w:autoSpaceDE w:val="0"/>
        <w:autoSpaceDN w:val="0"/>
        <w:adjustRightInd w:val="0"/>
        <w:spacing w:after="0" w:line="240" w:lineRule="auto"/>
        <w:ind w:left="720" w:right="720"/>
        <w:rPr>
          <w:rFonts w:cstheme="minorHAnsi"/>
        </w:rPr>
      </w:pPr>
    </w:p>
    <w:p w14:paraId="7CF1CB6F" w14:textId="3F6DE707" w:rsidR="00DA7E7A" w:rsidRDefault="00C55E49" w:rsidP="00E12AB4">
      <w:pPr>
        <w:autoSpaceDE w:val="0"/>
        <w:autoSpaceDN w:val="0"/>
        <w:adjustRightInd w:val="0"/>
        <w:spacing w:after="0" w:line="240" w:lineRule="auto"/>
        <w:ind w:left="720" w:right="720"/>
        <w:rPr>
          <w:rFonts w:cstheme="minorHAnsi"/>
        </w:rPr>
      </w:pPr>
      <w:r w:rsidRPr="00C55E49">
        <w:rPr>
          <w:rFonts w:cstheme="minorHAnsi"/>
        </w:rPr>
        <w:t>HHS is also likely to succeed despite Appellants’ federalism objection because</w:t>
      </w:r>
      <w:r>
        <w:rPr>
          <w:rFonts w:cstheme="minorHAnsi"/>
        </w:rPr>
        <w:t xml:space="preserve"> </w:t>
      </w:r>
      <w:r w:rsidRPr="00C55E49">
        <w:rPr>
          <w:rFonts w:cstheme="minorHAnsi"/>
        </w:rPr>
        <w:t>Congress expressly empowered HHS to act in areas of traditional state authority when</w:t>
      </w:r>
      <w:r>
        <w:rPr>
          <w:rFonts w:cstheme="minorHAnsi"/>
        </w:rPr>
        <w:t xml:space="preserve"> </w:t>
      </w:r>
      <w:r w:rsidRPr="00C55E49">
        <w:rPr>
          <w:rFonts w:cstheme="minorHAnsi"/>
        </w:rPr>
        <w:t>necessary to prevent interstate transmission of disease. See Gregory v. Ashcroft,</w:t>
      </w:r>
      <w:r>
        <w:rPr>
          <w:rFonts w:cstheme="minorHAnsi"/>
        </w:rPr>
        <w:t xml:space="preserve"> </w:t>
      </w:r>
      <w:r w:rsidRPr="00C55E49">
        <w:rPr>
          <w:rFonts w:cstheme="minorHAnsi"/>
        </w:rPr>
        <w:t>501 U.S. 452, 460 (1991). Appellees’ major-questions objection does not change the</w:t>
      </w:r>
      <w:r w:rsidR="00B8569C">
        <w:rPr>
          <w:rFonts w:cstheme="minorHAnsi"/>
        </w:rPr>
        <w:t xml:space="preserve"> </w:t>
      </w:r>
      <w:r w:rsidRPr="00C55E49">
        <w:rPr>
          <w:rFonts w:cstheme="minorHAnsi"/>
        </w:rPr>
        <w:t>calculus, given the statute’s plain text and Congress’s explicit embrace in the</w:t>
      </w:r>
      <w:r w:rsidR="00B8569C">
        <w:rPr>
          <w:rFonts w:cstheme="minorHAnsi"/>
        </w:rPr>
        <w:t xml:space="preserve"> </w:t>
      </w:r>
      <w:r w:rsidRPr="00C55E49">
        <w:rPr>
          <w:rFonts w:cstheme="minorHAnsi"/>
        </w:rPr>
        <w:t>Consolidated Appropriations Act of action it referenced HHS having taken under</w:t>
      </w:r>
      <w:r w:rsidR="00B8569C">
        <w:rPr>
          <w:rFonts w:cstheme="minorHAnsi"/>
        </w:rPr>
        <w:t xml:space="preserve"> </w:t>
      </w:r>
      <w:r w:rsidRPr="00C55E49">
        <w:rPr>
          <w:rFonts w:cstheme="minorHAnsi"/>
        </w:rPr>
        <w:t>42 U.S.C. § 264. Cf. Utility Air Regulatory Grp. v. EPA, 573 U.S. 302, 324 (2014). As</w:t>
      </w:r>
      <w:r w:rsidR="00B8569C">
        <w:rPr>
          <w:rFonts w:cstheme="minorHAnsi"/>
        </w:rPr>
        <w:t xml:space="preserve"> </w:t>
      </w:r>
      <w:r w:rsidRPr="00C55E49">
        <w:rPr>
          <w:rFonts w:cstheme="minorHAnsi"/>
        </w:rPr>
        <w:t>for Appellees’ non-delegation argument, Section 264's requirement that the regulatory</w:t>
      </w:r>
      <w:r w:rsidR="00B8569C">
        <w:rPr>
          <w:rFonts w:cstheme="minorHAnsi"/>
        </w:rPr>
        <w:t xml:space="preserve"> </w:t>
      </w:r>
      <w:r w:rsidRPr="00C55E49">
        <w:rPr>
          <w:rFonts w:cstheme="minorHAnsi"/>
        </w:rPr>
        <w:t>measures adopted be “necessary to prevent the introduction, transmission, or spread of</w:t>
      </w:r>
      <w:r w:rsidR="00B8569C">
        <w:rPr>
          <w:rFonts w:cstheme="minorHAnsi"/>
        </w:rPr>
        <w:t xml:space="preserve"> </w:t>
      </w:r>
      <w:r w:rsidRPr="00C55E49">
        <w:rPr>
          <w:rFonts w:cstheme="minorHAnsi"/>
        </w:rPr>
        <w:t>communicable diseases,” 42 U.S.C. § 264(a), provides an intelligible principle that</w:t>
      </w:r>
      <w:r w:rsidR="00B8569C">
        <w:rPr>
          <w:rFonts w:cstheme="minorHAnsi"/>
        </w:rPr>
        <w:t xml:space="preserve"> </w:t>
      </w:r>
      <w:r w:rsidRPr="00C55E49">
        <w:rPr>
          <w:rFonts w:cstheme="minorHAnsi"/>
        </w:rPr>
        <w:t>guides the agency's authority. See Gundy v. United States, 139 S. Ct. 2116, 2129</w:t>
      </w:r>
      <w:r w:rsidR="00E12AB4">
        <w:rPr>
          <w:rFonts w:cstheme="minorHAnsi"/>
        </w:rPr>
        <w:t xml:space="preserve"> </w:t>
      </w:r>
      <w:r w:rsidRPr="00C55E49">
        <w:rPr>
          <w:rFonts w:cstheme="minorHAnsi"/>
        </w:rPr>
        <w:t xml:space="preserve">(2019); Whitman v. American Trucking </w:t>
      </w:r>
      <w:proofErr w:type="spellStart"/>
      <w:r w:rsidRPr="00C55E49">
        <w:rPr>
          <w:rFonts w:cstheme="minorHAnsi"/>
        </w:rPr>
        <w:t>Ass’ns</w:t>
      </w:r>
      <w:proofErr w:type="spellEnd"/>
      <w:r w:rsidRPr="00C55E49">
        <w:rPr>
          <w:rFonts w:cstheme="minorHAnsi"/>
        </w:rPr>
        <w:t xml:space="preserve">, 531 U.S. 457, 472 (2001); </w:t>
      </w:r>
      <w:proofErr w:type="spellStart"/>
      <w:r w:rsidRPr="00C55E49">
        <w:rPr>
          <w:rFonts w:cstheme="minorHAnsi"/>
        </w:rPr>
        <w:t>Mistretta</w:t>
      </w:r>
      <w:proofErr w:type="spellEnd"/>
      <w:r w:rsidRPr="00C55E49">
        <w:rPr>
          <w:rFonts w:cstheme="minorHAnsi"/>
        </w:rPr>
        <w:t xml:space="preserve"> v.</w:t>
      </w:r>
      <w:r w:rsidR="00B8569C">
        <w:rPr>
          <w:rFonts w:cstheme="minorHAnsi"/>
        </w:rPr>
        <w:t xml:space="preserve"> </w:t>
      </w:r>
      <w:r w:rsidRPr="00C55E49">
        <w:rPr>
          <w:rFonts w:cstheme="minorHAnsi"/>
        </w:rPr>
        <w:t>United States, 488 U.S. 361, 372–73 (1989).</w:t>
      </w:r>
    </w:p>
    <w:p w14:paraId="474E760B" w14:textId="28136FD2" w:rsidR="00B8569C" w:rsidRDefault="00B8569C" w:rsidP="00B8569C">
      <w:pPr>
        <w:autoSpaceDE w:val="0"/>
        <w:autoSpaceDN w:val="0"/>
        <w:adjustRightInd w:val="0"/>
        <w:spacing w:after="0" w:line="240" w:lineRule="auto"/>
        <w:rPr>
          <w:rFonts w:cstheme="minorHAnsi"/>
        </w:rPr>
      </w:pPr>
    </w:p>
    <w:p w14:paraId="207B3E69" w14:textId="58C09096" w:rsidR="00B8569C" w:rsidRDefault="00B8569C" w:rsidP="00B8569C">
      <w:pPr>
        <w:autoSpaceDE w:val="0"/>
        <w:autoSpaceDN w:val="0"/>
        <w:adjustRightInd w:val="0"/>
        <w:spacing w:after="0" w:line="240" w:lineRule="auto"/>
        <w:rPr>
          <w:rFonts w:cstheme="minorHAnsi"/>
        </w:rPr>
      </w:pPr>
      <w:r>
        <w:rPr>
          <w:rFonts w:cstheme="minorHAnsi"/>
        </w:rPr>
        <w:t xml:space="preserve">The landlords promptly filed an application in the Supreme Court, No. 20A169.  </w:t>
      </w:r>
      <w:proofErr w:type="gramStart"/>
      <w:r>
        <w:rPr>
          <w:rFonts w:cstheme="minorHAnsi"/>
        </w:rPr>
        <w:t>Here’s</w:t>
      </w:r>
      <w:proofErr w:type="gramEnd"/>
      <w:r>
        <w:rPr>
          <w:rFonts w:cstheme="minorHAnsi"/>
        </w:rPr>
        <w:t xml:space="preserve"> the briefing so far:</w:t>
      </w:r>
    </w:p>
    <w:p w14:paraId="461E2193" w14:textId="77777777" w:rsidR="00B8569C" w:rsidRPr="00B8569C" w:rsidRDefault="00B8569C" w:rsidP="00B8569C">
      <w:pPr>
        <w:spacing w:before="100" w:beforeAutospacing="1" w:after="100" w:afterAutospacing="1" w:line="240" w:lineRule="auto"/>
        <w:ind w:left="720"/>
        <w:rPr>
          <w:rFonts w:eastAsia="Times New Roman" w:cstheme="minorHAnsi"/>
        </w:rPr>
      </w:pPr>
      <w:r w:rsidRPr="00B8569C">
        <w:rPr>
          <w:rFonts w:eastAsia="Times New Roman" w:cstheme="minorHAnsi"/>
        </w:rPr>
        <w:t>Plaintiffs’ emergency application for vacatur of stay, June 3, 2021</w:t>
      </w:r>
    </w:p>
    <w:p w14:paraId="0CFACECF" w14:textId="77777777" w:rsidR="00B8569C" w:rsidRPr="00B8569C" w:rsidRDefault="00B8569C" w:rsidP="00B8569C">
      <w:pPr>
        <w:spacing w:before="100" w:beforeAutospacing="1" w:after="100" w:afterAutospacing="1" w:line="240" w:lineRule="auto"/>
        <w:ind w:left="720"/>
        <w:rPr>
          <w:rFonts w:eastAsia="Times New Roman" w:cstheme="minorHAnsi"/>
        </w:rPr>
      </w:pPr>
      <w:hyperlink r:id="rId15" w:history="1">
        <w:r w:rsidRPr="00B8569C">
          <w:rPr>
            <w:rFonts w:eastAsia="Times New Roman" w:cstheme="minorHAnsi"/>
            <w:color w:val="0000FF"/>
            <w:u w:val="single"/>
          </w:rPr>
          <w:t>20210603170521964_SCOTUS Application to Vacate Stay</w:t>
        </w:r>
      </w:hyperlink>
    </w:p>
    <w:tbl>
      <w:tblPr>
        <w:tblW w:w="9360" w:type="dxa"/>
        <w:tblCellSpacing w:w="15" w:type="dxa"/>
        <w:tblInd w:w="720" w:type="dxa"/>
        <w:tblCellMar>
          <w:top w:w="15" w:type="dxa"/>
          <w:left w:w="15" w:type="dxa"/>
          <w:bottom w:w="15" w:type="dxa"/>
          <w:right w:w="15" w:type="dxa"/>
        </w:tblCellMar>
        <w:tblLook w:val="04A0" w:firstRow="1" w:lastRow="0" w:firstColumn="1" w:lastColumn="0" w:noHBand="0" w:noVBand="1"/>
      </w:tblPr>
      <w:tblGrid>
        <w:gridCol w:w="3045"/>
        <w:gridCol w:w="6315"/>
      </w:tblGrid>
      <w:tr w:rsidR="00B8569C" w:rsidRPr="00B8569C" w14:paraId="0265790C" w14:textId="77777777" w:rsidTr="00B8569C">
        <w:trPr>
          <w:tblCellSpacing w:w="15" w:type="dxa"/>
        </w:trPr>
        <w:tc>
          <w:tcPr>
            <w:tcW w:w="3000" w:type="dxa"/>
            <w:vAlign w:val="center"/>
            <w:hideMark/>
          </w:tcPr>
          <w:p w14:paraId="0CDC9CD7" w14:textId="77777777" w:rsidR="00B8569C" w:rsidRPr="00B8569C" w:rsidRDefault="00B8569C" w:rsidP="00B8569C">
            <w:pPr>
              <w:spacing w:after="0" w:line="240" w:lineRule="auto"/>
              <w:rPr>
                <w:rFonts w:eastAsia="Times New Roman" w:cstheme="minorHAnsi"/>
              </w:rPr>
            </w:pPr>
            <w:r w:rsidRPr="00B8569C">
              <w:rPr>
                <w:rFonts w:eastAsia="Times New Roman" w:cstheme="minorHAnsi"/>
              </w:rPr>
              <w:t>Jun 04 2021</w:t>
            </w:r>
          </w:p>
        </w:tc>
        <w:tc>
          <w:tcPr>
            <w:tcW w:w="0" w:type="auto"/>
            <w:vAlign w:val="center"/>
            <w:hideMark/>
          </w:tcPr>
          <w:p w14:paraId="06799C15" w14:textId="77777777" w:rsidR="00B8569C" w:rsidRPr="00B8569C" w:rsidRDefault="00B8569C" w:rsidP="00B8569C">
            <w:pPr>
              <w:spacing w:after="0" w:line="240" w:lineRule="auto"/>
              <w:rPr>
                <w:rFonts w:eastAsia="Times New Roman" w:cstheme="minorHAnsi"/>
              </w:rPr>
            </w:pPr>
            <w:r w:rsidRPr="00B8569C">
              <w:rPr>
                <w:rFonts w:eastAsia="Times New Roman" w:cstheme="minorHAnsi"/>
              </w:rPr>
              <w:t>Response to application (20A169) requested by The Chief Justice, due Thursday, June 10, 2021, by 5 p.m.</w:t>
            </w:r>
          </w:p>
        </w:tc>
      </w:tr>
    </w:tbl>
    <w:p w14:paraId="09E1634E" w14:textId="77777777" w:rsidR="00B8569C" w:rsidRPr="00B8569C" w:rsidRDefault="00B8569C" w:rsidP="00B8569C">
      <w:pPr>
        <w:spacing w:before="100" w:beforeAutospacing="1" w:after="100" w:afterAutospacing="1" w:line="240" w:lineRule="auto"/>
        <w:ind w:left="720"/>
        <w:rPr>
          <w:rFonts w:eastAsia="Times New Roman" w:cstheme="minorHAnsi"/>
        </w:rPr>
      </w:pPr>
      <w:r w:rsidRPr="00B8569C">
        <w:rPr>
          <w:rFonts w:eastAsia="Times New Roman" w:cstheme="minorHAnsi"/>
        </w:rPr>
        <w:lastRenderedPageBreak/>
        <w:t>21 states’ amicus response, June 10, 2021</w:t>
      </w:r>
    </w:p>
    <w:p w14:paraId="26AB65AE" w14:textId="77777777" w:rsidR="00B8569C" w:rsidRPr="00B8569C" w:rsidRDefault="00B8569C" w:rsidP="00B8569C">
      <w:pPr>
        <w:spacing w:before="100" w:beforeAutospacing="1" w:after="100" w:afterAutospacing="1" w:line="240" w:lineRule="auto"/>
        <w:ind w:left="720"/>
        <w:rPr>
          <w:rFonts w:eastAsia="Times New Roman" w:cstheme="minorHAnsi"/>
        </w:rPr>
      </w:pPr>
      <w:hyperlink r:id="rId16" w:tooltip="20210610135137833_FINAL COMBINED Mtn CDC Br" w:history="1">
        <w:r w:rsidRPr="00B8569C">
          <w:rPr>
            <w:rFonts w:eastAsia="Times New Roman" w:cstheme="minorHAnsi"/>
            <w:color w:val="0000FF"/>
            <w:u w:val="single"/>
          </w:rPr>
          <w:t>20210610135137833_FINAL COMBINED Mtn CDC Br</w:t>
        </w:r>
      </w:hyperlink>
    </w:p>
    <w:p w14:paraId="1868937A" w14:textId="77777777" w:rsidR="00B8569C" w:rsidRPr="00B8569C" w:rsidRDefault="00B8569C" w:rsidP="00B8569C">
      <w:pPr>
        <w:spacing w:before="100" w:beforeAutospacing="1" w:after="100" w:afterAutospacing="1" w:line="240" w:lineRule="auto"/>
        <w:ind w:left="720"/>
        <w:rPr>
          <w:rFonts w:eastAsia="Times New Roman" w:cstheme="minorHAnsi"/>
        </w:rPr>
      </w:pPr>
      <w:r w:rsidRPr="00B8569C">
        <w:rPr>
          <w:rFonts w:eastAsia="Times New Roman" w:cstheme="minorHAnsi"/>
        </w:rPr>
        <w:t>US response, June 10, 2021</w:t>
      </w:r>
    </w:p>
    <w:p w14:paraId="7EEE80A7" w14:textId="77777777" w:rsidR="00B8569C" w:rsidRPr="00B8569C" w:rsidRDefault="00B8569C" w:rsidP="00B8569C">
      <w:pPr>
        <w:spacing w:before="100" w:beforeAutospacing="1" w:after="100" w:afterAutospacing="1" w:line="240" w:lineRule="auto"/>
        <w:ind w:left="720"/>
        <w:rPr>
          <w:rFonts w:ascii="Times New Roman" w:eastAsia="Times New Roman" w:hAnsi="Times New Roman" w:cs="Times New Roman"/>
          <w:sz w:val="24"/>
          <w:szCs w:val="24"/>
        </w:rPr>
      </w:pPr>
      <w:hyperlink r:id="rId17" w:tooltip="20210610160741010_20A169 Alabama Realtors" w:history="1">
        <w:r w:rsidRPr="00B8569C">
          <w:rPr>
            <w:rFonts w:eastAsia="Times New Roman" w:cstheme="minorHAnsi"/>
            <w:color w:val="0000FF"/>
            <w:u w:val="single"/>
          </w:rPr>
          <w:t>20210610160741010_20A169 Alabama Realtors</w:t>
        </w:r>
      </w:hyperlink>
    </w:p>
    <w:p w14:paraId="1ECA7A3F" w14:textId="7C5CD818" w:rsidR="00B8569C" w:rsidRPr="00B8569C" w:rsidRDefault="00B8569C" w:rsidP="00B8569C">
      <w:pPr>
        <w:spacing w:before="100" w:beforeAutospacing="1" w:after="100" w:afterAutospacing="1" w:line="240" w:lineRule="auto"/>
        <w:rPr>
          <w:rFonts w:eastAsia="Times New Roman" w:cstheme="minorHAnsi"/>
        </w:rPr>
      </w:pPr>
      <w:r w:rsidRPr="00B8569C">
        <w:rPr>
          <w:rFonts w:eastAsia="Times New Roman" w:cstheme="minorHAnsi"/>
        </w:rPr>
        <w:t xml:space="preserve">As noted, and with the Government’s opposition having been filed June 10, </w:t>
      </w:r>
      <w:proofErr w:type="gramStart"/>
      <w:r w:rsidRPr="00B8569C">
        <w:rPr>
          <w:rFonts w:eastAsia="Times New Roman" w:cstheme="minorHAnsi"/>
        </w:rPr>
        <w:t>it’s</w:t>
      </w:r>
      <w:proofErr w:type="gramEnd"/>
      <w:r w:rsidRPr="00B8569C">
        <w:rPr>
          <w:rFonts w:eastAsia="Times New Roman" w:cstheme="minorHAnsi"/>
        </w:rPr>
        <w:t xml:space="preserve"> possible that the application will be decided on the June 14 orders list.</w:t>
      </w:r>
      <w:r w:rsidRPr="00B8569C">
        <w:rPr>
          <w:rFonts w:eastAsia="Times New Roman" w:cstheme="minorHAnsi"/>
        </w:rPr>
        <w:t> </w:t>
      </w:r>
    </w:p>
    <w:p w14:paraId="7AA36548" w14:textId="2D672A74" w:rsidR="00295E6A" w:rsidRPr="00B8569C" w:rsidRDefault="00295E6A">
      <w:pPr>
        <w:rPr>
          <w:u w:val="single"/>
        </w:rPr>
      </w:pPr>
      <w:r w:rsidRPr="00B8569C">
        <w:rPr>
          <w:u w:val="single"/>
        </w:rPr>
        <w:t>How the eviction moratorium went into place and has changed over time</w:t>
      </w:r>
    </w:p>
    <w:p w14:paraId="5CA0AE12" w14:textId="04C0FC80" w:rsidR="00117BF5" w:rsidRDefault="00117BF5">
      <w:r>
        <w:t>The original eviction moratorium was the creature of statute, namely, section 4024 of the CARES Act, Pub. L. 116-136.</w:t>
      </w:r>
      <w:r w:rsidR="00E203E7">
        <w:t xml:space="preserve">  It applied to tenants occupying covered dwellings who were threatened with eviction for nonpayment of rent:</w:t>
      </w:r>
    </w:p>
    <w:p w14:paraId="1F15E6E3" w14:textId="77777777" w:rsidR="00E203E7" w:rsidRPr="00E12AB4" w:rsidRDefault="00E203E7" w:rsidP="00E12AB4">
      <w:pPr>
        <w:autoSpaceDE w:val="0"/>
        <w:autoSpaceDN w:val="0"/>
        <w:adjustRightInd w:val="0"/>
        <w:spacing w:after="0" w:line="240" w:lineRule="auto"/>
        <w:ind w:left="720" w:right="720"/>
        <w:rPr>
          <w:rFonts w:cstheme="minorHAnsi"/>
        </w:rPr>
      </w:pPr>
      <w:r w:rsidRPr="00E12AB4">
        <w:rPr>
          <w:rFonts w:cstheme="minorHAnsi"/>
        </w:rPr>
        <w:t xml:space="preserve">(b) </w:t>
      </w:r>
      <w:proofErr w:type="gramStart"/>
      <w:r w:rsidRPr="00E12AB4">
        <w:rPr>
          <w:rFonts w:cstheme="minorHAnsi"/>
        </w:rPr>
        <w:t>MORATORIUM.—</w:t>
      </w:r>
      <w:proofErr w:type="gramEnd"/>
      <w:r w:rsidRPr="00E12AB4">
        <w:rPr>
          <w:rFonts w:cstheme="minorHAnsi"/>
        </w:rPr>
        <w:t>During the 120-day period beginning on the date of enactment of this Act, the lessor of a covered dwelling may not—</w:t>
      </w:r>
    </w:p>
    <w:p w14:paraId="2647500F" w14:textId="77777777" w:rsidR="00E203E7" w:rsidRPr="00E12AB4" w:rsidRDefault="00E203E7" w:rsidP="00E12AB4">
      <w:pPr>
        <w:autoSpaceDE w:val="0"/>
        <w:autoSpaceDN w:val="0"/>
        <w:adjustRightInd w:val="0"/>
        <w:spacing w:after="0" w:line="240" w:lineRule="auto"/>
        <w:ind w:left="720" w:right="720"/>
        <w:rPr>
          <w:rFonts w:cstheme="minorHAnsi"/>
        </w:rPr>
      </w:pPr>
      <w:r w:rsidRPr="00E12AB4">
        <w:rPr>
          <w:rFonts w:cstheme="minorHAnsi"/>
        </w:rPr>
        <w:t>(1) make, or cause to be made, any filing with the court of jurisdiction to initiate a legal action to recover possession of the covered dwelling from the tenant for nonpayment of rent or other fees or charges; or</w:t>
      </w:r>
    </w:p>
    <w:p w14:paraId="18D70EC4" w14:textId="77777777" w:rsidR="00E203E7" w:rsidRPr="00E12AB4" w:rsidRDefault="00E203E7" w:rsidP="00E12AB4">
      <w:pPr>
        <w:autoSpaceDE w:val="0"/>
        <w:autoSpaceDN w:val="0"/>
        <w:adjustRightInd w:val="0"/>
        <w:spacing w:after="0" w:line="240" w:lineRule="auto"/>
        <w:ind w:left="720" w:right="720"/>
        <w:rPr>
          <w:rFonts w:cstheme="minorHAnsi"/>
        </w:rPr>
      </w:pPr>
      <w:r w:rsidRPr="00E12AB4">
        <w:rPr>
          <w:rFonts w:cstheme="minorHAnsi"/>
        </w:rPr>
        <w:t>(2) charge fees, penalties, or other charges to the tenant related to such nonpayment of rent.</w:t>
      </w:r>
    </w:p>
    <w:p w14:paraId="0D5E3B57" w14:textId="77777777" w:rsidR="00E203E7" w:rsidRPr="00E12AB4" w:rsidRDefault="00E203E7" w:rsidP="00E12AB4">
      <w:pPr>
        <w:autoSpaceDE w:val="0"/>
        <w:autoSpaceDN w:val="0"/>
        <w:adjustRightInd w:val="0"/>
        <w:spacing w:after="0" w:line="240" w:lineRule="auto"/>
        <w:ind w:left="720" w:right="720"/>
        <w:rPr>
          <w:rFonts w:cstheme="minorHAnsi"/>
        </w:rPr>
      </w:pPr>
      <w:r w:rsidRPr="00E12AB4">
        <w:rPr>
          <w:rFonts w:cstheme="minorHAnsi"/>
        </w:rPr>
        <w:t xml:space="preserve">(c) </w:t>
      </w:r>
      <w:proofErr w:type="gramStart"/>
      <w:r w:rsidRPr="00E12AB4">
        <w:rPr>
          <w:rFonts w:cstheme="minorHAnsi"/>
        </w:rPr>
        <w:t>NOTICE.—</w:t>
      </w:r>
      <w:proofErr w:type="gramEnd"/>
      <w:r w:rsidRPr="00E12AB4">
        <w:rPr>
          <w:rFonts w:cstheme="minorHAnsi"/>
        </w:rPr>
        <w:t xml:space="preserve">The lessor of a covered dwelling unit— </w:t>
      </w:r>
    </w:p>
    <w:p w14:paraId="73172CAE" w14:textId="77777777" w:rsidR="00E203E7" w:rsidRPr="00E12AB4" w:rsidRDefault="00E203E7" w:rsidP="00E12AB4">
      <w:pPr>
        <w:autoSpaceDE w:val="0"/>
        <w:autoSpaceDN w:val="0"/>
        <w:adjustRightInd w:val="0"/>
        <w:spacing w:after="0" w:line="240" w:lineRule="auto"/>
        <w:ind w:left="720" w:right="720"/>
        <w:rPr>
          <w:rFonts w:cstheme="minorHAnsi"/>
        </w:rPr>
      </w:pPr>
      <w:r w:rsidRPr="00E12AB4">
        <w:rPr>
          <w:rFonts w:cstheme="minorHAnsi"/>
        </w:rPr>
        <w:t xml:space="preserve">(1) may not require the tenant to vacate the covered dwelling unit before the date that is 30 days after the date on which the lessor provides the tenant with a notice to </w:t>
      </w:r>
      <w:proofErr w:type="gramStart"/>
      <w:r w:rsidRPr="00E12AB4">
        <w:rPr>
          <w:rFonts w:cstheme="minorHAnsi"/>
        </w:rPr>
        <w:t>vacate;</w:t>
      </w:r>
      <w:proofErr w:type="gramEnd"/>
      <w:r w:rsidRPr="00E12AB4">
        <w:rPr>
          <w:rFonts w:cstheme="minorHAnsi"/>
        </w:rPr>
        <w:t xml:space="preserve"> and</w:t>
      </w:r>
    </w:p>
    <w:p w14:paraId="6AA67ABA" w14:textId="5434F5AC" w:rsidR="00117BF5" w:rsidRPr="00E12AB4" w:rsidRDefault="00E203E7" w:rsidP="00E12AB4">
      <w:pPr>
        <w:autoSpaceDE w:val="0"/>
        <w:autoSpaceDN w:val="0"/>
        <w:adjustRightInd w:val="0"/>
        <w:spacing w:after="0" w:line="240" w:lineRule="auto"/>
        <w:ind w:left="720" w:right="720"/>
        <w:rPr>
          <w:rFonts w:cstheme="minorHAnsi"/>
        </w:rPr>
      </w:pPr>
      <w:r w:rsidRPr="00E12AB4">
        <w:rPr>
          <w:rFonts w:cstheme="minorHAnsi"/>
        </w:rPr>
        <w:t>(2) may not issue a notice to vacate under paragraph (1) until after the expiration of the period described in subsection (b).</w:t>
      </w:r>
    </w:p>
    <w:p w14:paraId="3C0CDADC" w14:textId="77777777" w:rsidR="00E203E7" w:rsidRPr="00E12AB4" w:rsidRDefault="00E203E7" w:rsidP="00E12AB4">
      <w:pPr>
        <w:ind w:left="720" w:right="720"/>
        <w:rPr>
          <w:rFonts w:cstheme="minorHAnsi"/>
        </w:rPr>
      </w:pPr>
    </w:p>
    <w:p w14:paraId="2BCFC298" w14:textId="6B0E88C3" w:rsidR="00E203E7" w:rsidRDefault="00E203E7">
      <w:r>
        <w:t xml:space="preserve">Negotiations to extend the CARES Act broke down over the summer of 2020, whereupon the CDC issued a similar moratorium based on its own statutory authority, 85 </w:t>
      </w:r>
      <w:proofErr w:type="spellStart"/>
      <w:r>
        <w:t>Fed.Reg</w:t>
      </w:r>
      <w:proofErr w:type="spellEnd"/>
      <w:r>
        <w:t>. 55,292 (Sept. 4, 2020).  The September order protects</w:t>
      </w:r>
      <w:r w:rsidR="00295E6A">
        <w:t xml:space="preserve"> individuals</w:t>
      </w:r>
      <w:r>
        <w:t xml:space="preserve"> who execute declarations that:</w:t>
      </w:r>
    </w:p>
    <w:p w14:paraId="3F1939F6" w14:textId="029E53D3" w:rsidR="00295E6A" w:rsidRPr="00E12AB4" w:rsidRDefault="00295E6A" w:rsidP="00E12AB4">
      <w:pPr>
        <w:ind w:left="720" w:right="720"/>
      </w:pPr>
      <w:r w:rsidRPr="00E12AB4">
        <w:t xml:space="preserve">(1) The individual has used best efforts to obtain all available government assistance for rent or </w:t>
      </w:r>
      <w:proofErr w:type="gramStart"/>
      <w:r w:rsidRPr="00E12AB4">
        <w:t>housing;</w:t>
      </w:r>
      <w:proofErr w:type="gramEnd"/>
      <w:r w:rsidRPr="00E12AB4">
        <w:t xml:space="preserve"> </w:t>
      </w:r>
    </w:p>
    <w:p w14:paraId="0EF75601" w14:textId="77777777" w:rsidR="00295E6A" w:rsidRPr="00E12AB4" w:rsidRDefault="00295E6A" w:rsidP="00E12AB4">
      <w:pPr>
        <w:ind w:left="720" w:right="720"/>
      </w:pPr>
      <w:r w:rsidRPr="00E12AB4">
        <w:t xml:space="preserve">(2) The individual either (i) expects to earn no more than $99,000 in annual income for Calendar Year 2020 (or no more than $198,000 if filing a joint tax return),6(ii) was not required to report any income in 2019 to the U.S. Internal Revenue Service, or (iii) received an Economic Impact Payment (stimulus check) pursuant to Section 2201 of the CARES </w:t>
      </w:r>
      <w:proofErr w:type="gramStart"/>
      <w:r w:rsidRPr="00E12AB4">
        <w:t>Act;</w:t>
      </w:r>
      <w:proofErr w:type="gramEnd"/>
    </w:p>
    <w:p w14:paraId="4551056E" w14:textId="77777777" w:rsidR="00295E6A" w:rsidRPr="00E12AB4" w:rsidRDefault="00295E6A" w:rsidP="00E12AB4">
      <w:pPr>
        <w:ind w:left="720" w:right="720"/>
      </w:pPr>
      <w:r w:rsidRPr="00E12AB4">
        <w:t xml:space="preserve">(3) the individual is unable to pay the full rent or make a full housing payment due to substantial loss of household income, loss of compensable hours of work or wages, a lay-off, or extraordinary7out-of-pocket medical </w:t>
      </w:r>
      <w:proofErr w:type="gramStart"/>
      <w:r w:rsidRPr="00E12AB4">
        <w:t>expenses;</w:t>
      </w:r>
      <w:proofErr w:type="gramEnd"/>
    </w:p>
    <w:p w14:paraId="45527414" w14:textId="77777777" w:rsidR="00295E6A" w:rsidRPr="00E12AB4" w:rsidRDefault="00295E6A" w:rsidP="00E12AB4">
      <w:pPr>
        <w:ind w:left="720" w:right="720"/>
      </w:pPr>
      <w:r w:rsidRPr="00E12AB4">
        <w:lastRenderedPageBreak/>
        <w:t xml:space="preserve"> (4) the individual is using best efforts to make timely partial payments that are as close to the full payment as the individual’s circumstances may permit, </w:t>
      </w:r>
      <w:proofErr w:type="gramStart"/>
      <w:r w:rsidRPr="00E12AB4">
        <w:t>taking into account</w:t>
      </w:r>
      <w:proofErr w:type="gramEnd"/>
      <w:r w:rsidRPr="00E12AB4">
        <w:t xml:space="preserve"> other nondiscretionary expenses; and</w:t>
      </w:r>
    </w:p>
    <w:p w14:paraId="33DFB65F" w14:textId="504A169D" w:rsidR="00117BF5" w:rsidRPr="00E12AB4" w:rsidRDefault="00295E6A" w:rsidP="00E12AB4">
      <w:pPr>
        <w:ind w:left="720" w:right="720"/>
      </w:pPr>
      <w:r w:rsidRPr="00E12AB4">
        <w:t xml:space="preserve"> (5) eviction would likely render the individual homeless—or force the individual to move into and </w:t>
      </w:r>
      <w:proofErr w:type="gramStart"/>
      <w:r w:rsidRPr="00E12AB4">
        <w:t>live in</w:t>
      </w:r>
      <w:proofErr w:type="gramEnd"/>
      <w:r w:rsidRPr="00E12AB4">
        <w:t xml:space="preserve"> close quarters in a new congregate or shared living setting—because the individual has no other available housing options.</w:t>
      </w:r>
    </w:p>
    <w:p w14:paraId="27B0FC1F" w14:textId="241ED665" w:rsidR="003B42F6" w:rsidRDefault="003B42F6">
      <w:r>
        <w:t>The text of the CDC statute provides</w:t>
      </w:r>
      <w:r w:rsidR="00A3612E">
        <w:t xml:space="preserve"> in part</w:t>
      </w:r>
      <w:r>
        <w:t>:</w:t>
      </w:r>
    </w:p>
    <w:p w14:paraId="63AA36E5" w14:textId="525A80B8" w:rsidR="003B42F6" w:rsidRDefault="00A3612E" w:rsidP="00A3612E">
      <w:pPr>
        <w:ind w:left="720" w:right="720"/>
      </w:pPr>
      <w:r>
        <w:t xml:space="preserve">42 U.S.C. </w:t>
      </w:r>
      <w:r>
        <w:rPr>
          <w:rFonts w:cstheme="minorHAnsi"/>
        </w:rPr>
        <w:t>§</w:t>
      </w:r>
      <w:r>
        <w:t xml:space="preserve"> 264(a)</w:t>
      </w:r>
    </w:p>
    <w:p w14:paraId="7508ED0E" w14:textId="269A44F9" w:rsidR="00A3612E" w:rsidRDefault="00A3612E" w:rsidP="00A3612E">
      <w:pPr>
        <w:ind w:left="720" w:right="720"/>
      </w:pPr>
      <w:r>
        <w:t xml:space="preserve">The </w:t>
      </w:r>
      <w:r w:rsidRPr="00A3612E">
        <w:t>Surgeon General</w:t>
      </w:r>
      <w:r>
        <w:t>, with the approval of the</w:t>
      </w:r>
      <w:r w:rsidRPr="00A3612E">
        <w:t xml:space="preserve"> Secretary,</w:t>
      </w:r>
      <w:r>
        <w:t xml:space="preserve"> is authorized to make and enforce such</w:t>
      </w:r>
      <w:r w:rsidRPr="00A3612E">
        <w:t xml:space="preserve"> regulations </w:t>
      </w:r>
      <w:r>
        <w:t>as in his judgment are necessary to prevent the introduction, transmission, or spread of communicable diseases from foreign countries into the States or possessions, or from one State or possession into any other State or possession. For purposes of carrying out and enforcing such</w:t>
      </w:r>
      <w:r w:rsidRPr="00A3612E">
        <w:t xml:space="preserve"> regulations,</w:t>
      </w:r>
      <w:r>
        <w:t xml:space="preserve"> the </w:t>
      </w:r>
      <w:r w:rsidRPr="00A3612E">
        <w:t>Surgeon General</w:t>
      </w:r>
      <w:r>
        <w:t xml:space="preserve"> may provide for such inspection, fumigation, disinfection, sanitation, pest extermination, destruction of animals or articles found to be so infected or contaminated as to be sources of dangerous infection to human beings, and other measures, as in his judgment may be necessary.</w:t>
      </w:r>
    </w:p>
    <w:p w14:paraId="042A3E53" w14:textId="01EB05EF" w:rsidR="003B42F6" w:rsidRDefault="003B42F6">
      <w:r>
        <w:t xml:space="preserve">The U.S.’s ratification argument depends on section 502 of </w:t>
      </w:r>
      <w:r w:rsidR="00117BF5">
        <w:t>the Consolidated Appropriations Act, Pub. L. 116-260</w:t>
      </w:r>
      <w:r>
        <w:t>:</w:t>
      </w:r>
    </w:p>
    <w:p w14:paraId="425B4B23" w14:textId="77777777" w:rsidR="003B42F6" w:rsidRPr="00A3612E" w:rsidRDefault="003B42F6" w:rsidP="00A3612E">
      <w:pPr>
        <w:autoSpaceDE w:val="0"/>
        <w:autoSpaceDN w:val="0"/>
        <w:adjustRightInd w:val="0"/>
        <w:spacing w:after="0" w:line="240" w:lineRule="auto"/>
        <w:ind w:left="720" w:right="720"/>
        <w:rPr>
          <w:rFonts w:cstheme="minorHAnsi"/>
          <w:b/>
          <w:bCs/>
        </w:rPr>
      </w:pPr>
      <w:r w:rsidRPr="00A3612E">
        <w:rPr>
          <w:rFonts w:cstheme="minorHAnsi"/>
          <w:b/>
          <w:bCs/>
        </w:rPr>
        <w:t>SEC. 502. EXTENSION OF EVICTION MORATORIUM.</w:t>
      </w:r>
    </w:p>
    <w:p w14:paraId="435E5B27" w14:textId="77777777" w:rsidR="003B42F6" w:rsidRPr="00A3612E" w:rsidRDefault="003B42F6" w:rsidP="00A3612E">
      <w:pPr>
        <w:autoSpaceDE w:val="0"/>
        <w:autoSpaceDN w:val="0"/>
        <w:adjustRightInd w:val="0"/>
        <w:spacing w:after="0" w:line="240" w:lineRule="auto"/>
        <w:ind w:left="720" w:right="720"/>
        <w:rPr>
          <w:rFonts w:cstheme="minorHAnsi"/>
        </w:rPr>
      </w:pPr>
      <w:r w:rsidRPr="00A3612E">
        <w:rPr>
          <w:rFonts w:cstheme="minorHAnsi"/>
        </w:rPr>
        <w:t xml:space="preserve">The order issued by the Centers for Disease Control and Prevention under section 361 of the Public Health Service Act (42 U.S.C. 264), entitled ‘‘Temporary Halt in Residential Evictions </w:t>
      </w:r>
      <w:proofErr w:type="gramStart"/>
      <w:r w:rsidRPr="00A3612E">
        <w:rPr>
          <w:rFonts w:cstheme="minorHAnsi"/>
        </w:rPr>
        <w:t>To</w:t>
      </w:r>
      <w:proofErr w:type="gramEnd"/>
      <w:r w:rsidRPr="00A3612E">
        <w:rPr>
          <w:rFonts w:cstheme="minorHAnsi"/>
        </w:rPr>
        <w:t xml:space="preserve"> Prevent the Further Spread of COVID–19’’ (85 Fed. Reg. 55292 (September 4, 2020) is extended through January 31, 2021, notwithstanding the effective dates specified in such Order.</w:t>
      </w:r>
    </w:p>
    <w:p w14:paraId="0283C606" w14:textId="1F6D0599" w:rsidR="003B42F6" w:rsidRPr="00A3612E" w:rsidRDefault="003B42F6" w:rsidP="00A3612E">
      <w:pPr>
        <w:ind w:left="720" w:right="720"/>
        <w:rPr>
          <w:rFonts w:cstheme="minorHAnsi"/>
        </w:rPr>
      </w:pPr>
    </w:p>
    <w:p w14:paraId="54F633DC" w14:textId="77777777" w:rsidR="00E12AB4" w:rsidRPr="00E12AB4" w:rsidRDefault="00E12AB4">
      <w:pPr>
        <w:rPr>
          <w:u w:val="single"/>
        </w:rPr>
      </w:pPr>
      <w:r w:rsidRPr="00E12AB4">
        <w:rPr>
          <w:u w:val="single"/>
        </w:rPr>
        <w:t>The court cases about the CDC eviction moratorium</w:t>
      </w:r>
    </w:p>
    <w:p w14:paraId="347C7DAD" w14:textId="1C2866A3" w:rsidR="003B42F6" w:rsidRDefault="003B42F6">
      <w:r>
        <w:t>Alphabetically, the cases currently being litigated are:</w:t>
      </w:r>
    </w:p>
    <w:p w14:paraId="00B0F328" w14:textId="1D2F6495" w:rsidR="003B42F6" w:rsidRDefault="00967279">
      <w:r>
        <w:rPr>
          <w:rStyle w:val="Emphasis"/>
        </w:rPr>
        <w:t xml:space="preserve">Alabama </w:t>
      </w:r>
      <w:proofErr w:type="spellStart"/>
      <w:r>
        <w:rPr>
          <w:rStyle w:val="Emphasis"/>
        </w:rPr>
        <w:t>Ass’n</w:t>
      </w:r>
      <w:proofErr w:type="spellEnd"/>
      <w:r>
        <w:rPr>
          <w:rStyle w:val="Emphasis"/>
        </w:rPr>
        <w:t xml:space="preserve"> of Realtors v. U.S. D.H.H.S.</w:t>
      </w:r>
      <w:r>
        <w:t>, No. 1:20-cv-3377 (D. D.C.)</w:t>
      </w:r>
      <w:r>
        <w:t>, No. 21-5093 (D.C. Cir.), No. 20A169 (U.S. Supreme Court)</w:t>
      </w:r>
    </w:p>
    <w:p w14:paraId="593F6318" w14:textId="00BB459C" w:rsidR="003B42F6" w:rsidRDefault="00967279">
      <w:r>
        <w:rPr>
          <w:rStyle w:val="Emphasis"/>
        </w:rPr>
        <w:t>Chambless Enterprises v. Redfield</w:t>
      </w:r>
      <w:r>
        <w:t>, No. 3:20-cv-1455 (W.D. La.)</w:t>
      </w:r>
      <w:r>
        <w:t>, No. 21-30037 (5</w:t>
      </w:r>
      <w:r w:rsidRPr="00967279">
        <w:rPr>
          <w:vertAlign w:val="superscript"/>
        </w:rPr>
        <w:t>th</w:t>
      </w:r>
      <w:r>
        <w:t xml:space="preserve"> Cir.)</w:t>
      </w:r>
    </w:p>
    <w:p w14:paraId="2121F3BD" w14:textId="185EAE28" w:rsidR="003B42F6" w:rsidRDefault="003B42F6">
      <w:r>
        <w:rPr>
          <w:rStyle w:val="Emphasis"/>
        </w:rPr>
        <w:t>Skyworks, Ltd., v. Centers for Disease Control and Prevention</w:t>
      </w:r>
      <w:r>
        <w:t>, No. 5:20-cv-2407 (N.D. Ohio)</w:t>
      </w:r>
      <w:r>
        <w:t xml:space="preserve">, </w:t>
      </w:r>
      <w:r w:rsidR="00967279">
        <w:t>No. 21-3443 (6</w:t>
      </w:r>
      <w:r w:rsidR="00967279" w:rsidRPr="00967279">
        <w:rPr>
          <w:vertAlign w:val="superscript"/>
        </w:rPr>
        <w:t>th</w:t>
      </w:r>
      <w:r w:rsidR="00967279">
        <w:t xml:space="preserve"> Cir.)</w:t>
      </w:r>
    </w:p>
    <w:p w14:paraId="3BC54BDD" w14:textId="2B97FC25" w:rsidR="003B42F6" w:rsidRDefault="003B42F6">
      <w:r w:rsidRPr="003B42F6">
        <w:rPr>
          <w:i/>
          <w:iCs/>
        </w:rPr>
        <w:t>Terkel v. Center for Disease Control and Prevention</w:t>
      </w:r>
      <w:r>
        <w:t>, No. 6:20-cv-564 (E.D. Tex.)</w:t>
      </w:r>
      <w:r>
        <w:t xml:space="preserve">, No. </w:t>
      </w:r>
      <w:r>
        <w:t>21-40137</w:t>
      </w:r>
      <w:r>
        <w:t xml:space="preserve"> (5</w:t>
      </w:r>
      <w:r w:rsidRPr="003B42F6">
        <w:rPr>
          <w:vertAlign w:val="superscript"/>
        </w:rPr>
        <w:t>th</w:t>
      </w:r>
      <w:r>
        <w:t xml:space="preserve"> Cir.)</w:t>
      </w:r>
    </w:p>
    <w:p w14:paraId="5876FCD2" w14:textId="2BF067A4" w:rsidR="003B42F6" w:rsidRDefault="003B42F6">
      <w:r>
        <w:rPr>
          <w:rStyle w:val="Emphasis"/>
        </w:rPr>
        <w:t xml:space="preserve">Tiger Lily LLC v. U.S. </w:t>
      </w:r>
      <w:proofErr w:type="spellStart"/>
      <w:r>
        <w:rPr>
          <w:rStyle w:val="Emphasis"/>
        </w:rPr>
        <w:t>Dep’t</w:t>
      </w:r>
      <w:proofErr w:type="spellEnd"/>
      <w:r>
        <w:rPr>
          <w:rStyle w:val="Emphasis"/>
        </w:rPr>
        <w:t xml:space="preserve"> of Housing and Urban Development</w:t>
      </w:r>
      <w:r>
        <w:t>, No. 2:20-cv-2692 (W.D. Tenn.)</w:t>
      </w:r>
      <w:r>
        <w:t>, No. 21-5256 (6</w:t>
      </w:r>
      <w:r w:rsidRPr="003B42F6">
        <w:rPr>
          <w:vertAlign w:val="superscript"/>
        </w:rPr>
        <w:t>th</w:t>
      </w:r>
      <w:r>
        <w:t xml:space="preserve"> Cir.)</w:t>
      </w:r>
    </w:p>
    <w:p w14:paraId="0008D332" w14:textId="6B74B671" w:rsidR="003B42F6" w:rsidRDefault="003B42F6">
      <w:r>
        <w:lastRenderedPageBreak/>
        <w:t xml:space="preserve">Things started to go the landlords’ way in February, when Judge J. Campbell Barker, in Texas, held </w:t>
      </w:r>
      <w:r w:rsidR="00967279">
        <w:t xml:space="preserve">in the </w:t>
      </w:r>
      <w:r w:rsidR="00967279" w:rsidRPr="00967279">
        <w:rPr>
          <w:i/>
          <w:iCs/>
        </w:rPr>
        <w:t>Terkel</w:t>
      </w:r>
      <w:r w:rsidR="00967279">
        <w:t xml:space="preserve"> case </w:t>
      </w:r>
      <w:r>
        <w:t>that the eviction moratorium was not within the Federal Government’s power.</w:t>
      </w:r>
    </w:p>
    <w:p w14:paraId="6C2D8CEA" w14:textId="77777777" w:rsidR="00967279" w:rsidRPr="00A3612E" w:rsidRDefault="00967279" w:rsidP="00A3612E">
      <w:pPr>
        <w:pStyle w:val="NormalWeb"/>
        <w:ind w:left="720"/>
        <w:rPr>
          <w:rFonts w:asciiTheme="minorHAnsi" w:hAnsiTheme="minorHAnsi" w:cstheme="minorHAnsi"/>
          <w:sz w:val="22"/>
          <w:szCs w:val="22"/>
        </w:rPr>
      </w:pPr>
      <w:r w:rsidRPr="00A3612E">
        <w:rPr>
          <w:rFonts w:asciiTheme="minorHAnsi" w:hAnsiTheme="minorHAnsi" w:cstheme="minorHAnsi"/>
          <w:sz w:val="22"/>
          <w:szCs w:val="22"/>
        </w:rPr>
        <w:t>Opinion, Feb. 25, 2021</w:t>
      </w:r>
    </w:p>
    <w:p w14:paraId="2A83DCF4" w14:textId="77777777" w:rsidR="00967279" w:rsidRPr="00A3612E" w:rsidRDefault="00967279" w:rsidP="00A3612E">
      <w:pPr>
        <w:pStyle w:val="NormalWeb"/>
        <w:ind w:left="720"/>
        <w:rPr>
          <w:rFonts w:asciiTheme="minorHAnsi" w:hAnsiTheme="minorHAnsi" w:cstheme="minorHAnsi"/>
          <w:sz w:val="22"/>
          <w:szCs w:val="22"/>
        </w:rPr>
      </w:pPr>
      <w:hyperlink r:id="rId18" w:history="1">
        <w:r w:rsidRPr="00A3612E">
          <w:rPr>
            <w:rStyle w:val="Hyperlink"/>
            <w:rFonts w:asciiTheme="minorHAnsi" w:hAnsiTheme="minorHAnsi" w:cstheme="minorHAnsi"/>
            <w:sz w:val="22"/>
            <w:szCs w:val="22"/>
          </w:rPr>
          <w:t>12846304-0–66628</w:t>
        </w:r>
      </w:hyperlink>
    </w:p>
    <w:p w14:paraId="2E24AD25" w14:textId="7674F0BF" w:rsidR="00967279" w:rsidRDefault="00967279">
      <w:r>
        <w:t>Subsequent pro-landlord decisions have depended on the idea that the CDC statute does not give the CDC the power to promulgate an eviction moratorium and that Congress has not ratified the moratorium.</w:t>
      </w:r>
    </w:p>
    <w:p w14:paraId="7F44B9C8" w14:textId="66947EF9" w:rsidR="00967279" w:rsidRDefault="00967279">
      <w:r>
        <w:t xml:space="preserve">The first district court decision to this effect was in </w:t>
      </w:r>
      <w:r w:rsidR="00117BF5">
        <w:t xml:space="preserve">the </w:t>
      </w:r>
      <w:r w:rsidR="00117BF5" w:rsidRPr="00E12AB4">
        <w:rPr>
          <w:i/>
          <w:iCs/>
        </w:rPr>
        <w:t>Skyworks</w:t>
      </w:r>
      <w:r w:rsidR="00117BF5">
        <w:t xml:space="preserve"> case, from the Northern District of Ohio:</w:t>
      </w:r>
    </w:p>
    <w:p w14:paraId="25E0A0AD" w14:textId="77777777" w:rsidR="00117BF5" w:rsidRPr="00E12AB4" w:rsidRDefault="00117BF5" w:rsidP="00E12AB4">
      <w:pPr>
        <w:pStyle w:val="NormalWeb"/>
        <w:ind w:left="720"/>
        <w:rPr>
          <w:rFonts w:asciiTheme="minorHAnsi" w:hAnsiTheme="minorHAnsi" w:cstheme="minorHAnsi"/>
          <w:sz w:val="22"/>
          <w:szCs w:val="22"/>
        </w:rPr>
      </w:pPr>
      <w:r w:rsidRPr="00E12AB4">
        <w:rPr>
          <w:rFonts w:asciiTheme="minorHAnsi" w:hAnsiTheme="minorHAnsi" w:cstheme="minorHAnsi"/>
          <w:sz w:val="22"/>
          <w:szCs w:val="22"/>
        </w:rPr>
        <w:t>Opinion, March 10, 2021</w:t>
      </w:r>
    </w:p>
    <w:p w14:paraId="3580CFFC" w14:textId="77777777" w:rsidR="00117BF5" w:rsidRPr="00E12AB4" w:rsidRDefault="00117BF5" w:rsidP="00E12AB4">
      <w:pPr>
        <w:pStyle w:val="NormalWeb"/>
        <w:ind w:left="720"/>
        <w:rPr>
          <w:rFonts w:asciiTheme="minorHAnsi" w:hAnsiTheme="minorHAnsi" w:cstheme="minorHAnsi"/>
          <w:sz w:val="22"/>
          <w:szCs w:val="22"/>
        </w:rPr>
      </w:pPr>
      <w:hyperlink r:id="rId19" w:tooltip="Skyworks opinion and order" w:history="1">
        <w:r w:rsidRPr="00E12AB4">
          <w:rPr>
            <w:rStyle w:val="Hyperlink"/>
            <w:rFonts w:asciiTheme="minorHAnsi" w:hAnsiTheme="minorHAnsi" w:cstheme="minorHAnsi"/>
            <w:sz w:val="22"/>
            <w:szCs w:val="22"/>
          </w:rPr>
          <w:t>Skyworks opinion and order</w:t>
        </w:r>
      </w:hyperlink>
    </w:p>
    <w:p w14:paraId="29B7C6CC" w14:textId="77777777" w:rsidR="00117BF5" w:rsidRPr="00E12AB4" w:rsidRDefault="00117BF5" w:rsidP="00E12AB4">
      <w:pPr>
        <w:pStyle w:val="NormalWeb"/>
        <w:ind w:left="720"/>
        <w:rPr>
          <w:rFonts w:asciiTheme="minorHAnsi" w:hAnsiTheme="minorHAnsi" w:cstheme="minorHAnsi"/>
          <w:sz w:val="22"/>
          <w:szCs w:val="22"/>
        </w:rPr>
      </w:pPr>
      <w:r w:rsidRPr="00E12AB4">
        <w:rPr>
          <w:rFonts w:asciiTheme="minorHAnsi" w:hAnsiTheme="minorHAnsi" w:cstheme="minorHAnsi"/>
          <w:sz w:val="22"/>
          <w:szCs w:val="22"/>
        </w:rPr>
        <w:t>Declaratory judgment, March 10, 2021</w:t>
      </w:r>
    </w:p>
    <w:p w14:paraId="0A524832" w14:textId="77777777" w:rsidR="00117BF5" w:rsidRPr="00E12AB4" w:rsidRDefault="00117BF5" w:rsidP="00E12AB4">
      <w:pPr>
        <w:pStyle w:val="NormalWeb"/>
        <w:ind w:left="720"/>
        <w:rPr>
          <w:rFonts w:asciiTheme="minorHAnsi" w:hAnsiTheme="minorHAnsi" w:cstheme="minorHAnsi"/>
          <w:sz w:val="22"/>
          <w:szCs w:val="22"/>
        </w:rPr>
      </w:pPr>
      <w:hyperlink r:id="rId20" w:tooltip="Skyworks declaratory judgment" w:history="1">
        <w:r w:rsidRPr="00E12AB4">
          <w:rPr>
            <w:rStyle w:val="Hyperlink"/>
            <w:rFonts w:asciiTheme="minorHAnsi" w:hAnsiTheme="minorHAnsi" w:cstheme="minorHAnsi"/>
            <w:sz w:val="22"/>
            <w:szCs w:val="22"/>
          </w:rPr>
          <w:t>Skyworks declaratory judgment</w:t>
        </w:r>
      </w:hyperlink>
    </w:p>
    <w:p w14:paraId="6A3110BA" w14:textId="479072EF" w:rsidR="00117BF5" w:rsidRPr="00E12AB4" w:rsidRDefault="00117BF5" w:rsidP="00E12AB4">
      <w:pPr>
        <w:rPr>
          <w:rFonts w:cstheme="minorHAnsi"/>
        </w:rPr>
      </w:pPr>
      <w:r w:rsidRPr="00E12AB4">
        <w:rPr>
          <w:rFonts w:cstheme="minorHAnsi"/>
        </w:rPr>
        <w:t>(Defendants appealed, but proceedings in the appeal have been on hold while plaintiffs attempted to convince Judge Calabrese to make his injunction nationally effective, which he declined to do.</w:t>
      </w:r>
    </w:p>
    <w:p w14:paraId="2CA2D41F" w14:textId="77777777" w:rsidR="00117BF5" w:rsidRPr="00E12AB4" w:rsidRDefault="00117BF5" w:rsidP="00E12AB4">
      <w:pPr>
        <w:pStyle w:val="NormalWeb"/>
        <w:ind w:left="720"/>
        <w:rPr>
          <w:rFonts w:asciiTheme="minorHAnsi" w:hAnsiTheme="minorHAnsi" w:cstheme="minorHAnsi"/>
          <w:sz w:val="22"/>
          <w:szCs w:val="22"/>
        </w:rPr>
      </w:pPr>
      <w:r w:rsidRPr="00E12AB4">
        <w:rPr>
          <w:rFonts w:asciiTheme="minorHAnsi" w:hAnsiTheme="minorHAnsi" w:cstheme="minorHAnsi"/>
          <w:sz w:val="22"/>
          <w:szCs w:val="22"/>
        </w:rPr>
        <w:t xml:space="preserve">Order and judgment clarifying judgment, June 3, </w:t>
      </w:r>
      <w:proofErr w:type="gramStart"/>
      <w:r w:rsidRPr="00E12AB4">
        <w:rPr>
          <w:rFonts w:asciiTheme="minorHAnsi" w:hAnsiTheme="minorHAnsi" w:cstheme="minorHAnsi"/>
          <w:sz w:val="22"/>
          <w:szCs w:val="22"/>
        </w:rPr>
        <w:t>2021</w:t>
      </w:r>
      <w:proofErr w:type="gramEnd"/>
    </w:p>
    <w:p w14:paraId="7DB0704A" w14:textId="77777777" w:rsidR="00117BF5" w:rsidRPr="00E12AB4" w:rsidRDefault="00117BF5" w:rsidP="00E12AB4">
      <w:pPr>
        <w:pStyle w:val="NormalWeb"/>
        <w:ind w:left="720"/>
        <w:rPr>
          <w:rFonts w:asciiTheme="minorHAnsi" w:hAnsiTheme="minorHAnsi" w:cstheme="minorHAnsi"/>
          <w:sz w:val="22"/>
          <w:szCs w:val="22"/>
        </w:rPr>
      </w:pPr>
      <w:hyperlink r:id="rId21" w:history="1">
        <w:r w:rsidRPr="00E12AB4">
          <w:rPr>
            <w:rStyle w:val="Hyperlink"/>
            <w:rFonts w:asciiTheme="minorHAnsi" w:hAnsiTheme="minorHAnsi" w:cstheme="minorHAnsi"/>
            <w:sz w:val="22"/>
            <w:szCs w:val="22"/>
          </w:rPr>
          <w:t>Skyworks opinion and order clarifying</w:t>
        </w:r>
      </w:hyperlink>
    </w:p>
    <w:p w14:paraId="74D0CE93" w14:textId="77777777" w:rsidR="00117BF5" w:rsidRPr="00E12AB4" w:rsidRDefault="00117BF5" w:rsidP="00E12AB4">
      <w:pPr>
        <w:pStyle w:val="NormalWeb"/>
        <w:ind w:left="720"/>
        <w:rPr>
          <w:rFonts w:asciiTheme="minorHAnsi" w:hAnsiTheme="minorHAnsi" w:cstheme="minorHAnsi"/>
          <w:sz w:val="22"/>
          <w:szCs w:val="22"/>
        </w:rPr>
      </w:pPr>
      <w:hyperlink r:id="rId22" w:history="1">
        <w:r w:rsidRPr="00E12AB4">
          <w:rPr>
            <w:rStyle w:val="Hyperlink"/>
            <w:rFonts w:asciiTheme="minorHAnsi" w:hAnsiTheme="minorHAnsi" w:cstheme="minorHAnsi"/>
            <w:sz w:val="22"/>
            <w:szCs w:val="22"/>
          </w:rPr>
          <w:t>Skyworks judgment</w:t>
        </w:r>
      </w:hyperlink>
    </w:p>
    <w:p w14:paraId="0B961C3C" w14:textId="34624B5B" w:rsidR="00117BF5" w:rsidRDefault="00117BF5" w:rsidP="00E12AB4">
      <w:r w:rsidRPr="00E12AB4">
        <w:rPr>
          <w:rFonts w:cstheme="minorHAnsi"/>
        </w:rPr>
        <w:t xml:space="preserve">The next move, presumably, will involve seeing what the Supreme Court does in the </w:t>
      </w:r>
      <w:r w:rsidRPr="00E12AB4">
        <w:rPr>
          <w:rFonts w:cstheme="minorHAnsi"/>
          <w:i/>
          <w:iCs/>
        </w:rPr>
        <w:t>Alabama Association of Realtors</w:t>
      </w:r>
      <w:r>
        <w:t xml:space="preserve"> case and resume </w:t>
      </w:r>
      <w:r w:rsidR="00E12AB4">
        <w:t xml:space="preserve">appellate </w:t>
      </w:r>
      <w:r>
        <w:t>briefing from there.)</w:t>
      </w:r>
    </w:p>
    <w:p w14:paraId="2465FA68" w14:textId="7CF16D53" w:rsidR="00967279" w:rsidRDefault="00117BF5">
      <w:r>
        <w:t xml:space="preserve">The next pro-landlord judgment was in </w:t>
      </w:r>
      <w:r w:rsidR="00967279" w:rsidRPr="00E12AB4">
        <w:rPr>
          <w:i/>
          <w:iCs/>
        </w:rPr>
        <w:t>Tiger Lily</w:t>
      </w:r>
      <w:r>
        <w:t>:</w:t>
      </w:r>
    </w:p>
    <w:p w14:paraId="71BB40FB" w14:textId="77777777" w:rsidR="00967279" w:rsidRDefault="00967279" w:rsidP="00117BF5">
      <w:pPr>
        <w:pStyle w:val="NormalWeb"/>
        <w:ind w:left="720"/>
      </w:pPr>
      <w:r>
        <w:t>Order, March 15, 2021</w:t>
      </w:r>
    </w:p>
    <w:p w14:paraId="37B8C1E3" w14:textId="77777777" w:rsidR="00967279" w:rsidRDefault="00967279" w:rsidP="00117BF5">
      <w:pPr>
        <w:pStyle w:val="NormalWeb"/>
        <w:ind w:left="720"/>
      </w:pPr>
      <w:hyperlink r:id="rId23" w:tooltip="4118533-0--109474" w:history="1">
        <w:r>
          <w:rPr>
            <w:rStyle w:val="Hyperlink"/>
          </w:rPr>
          <w:t>4118533-0–109474</w:t>
        </w:r>
      </w:hyperlink>
    </w:p>
    <w:p w14:paraId="58BF6082" w14:textId="5567A5DA" w:rsidR="00967279" w:rsidRDefault="00967279">
      <w:r>
        <w:t xml:space="preserve">(The Sixth Circuit denied the U.S. an emergency stay </w:t>
      </w:r>
    </w:p>
    <w:p w14:paraId="7E3BCE8F" w14:textId="77777777" w:rsidR="00967279" w:rsidRDefault="00967279" w:rsidP="00967279">
      <w:pPr>
        <w:pStyle w:val="NormalWeb"/>
        <w:ind w:left="720"/>
      </w:pPr>
      <w:r>
        <w:rPr>
          <w:color w:val="000080"/>
        </w:rPr>
        <w:t xml:space="preserve">Order denying stay, March 29, </w:t>
      </w:r>
      <w:proofErr w:type="gramStart"/>
      <w:r>
        <w:rPr>
          <w:color w:val="000080"/>
        </w:rPr>
        <w:t>2021</w:t>
      </w:r>
      <w:proofErr w:type="gramEnd"/>
    </w:p>
    <w:p w14:paraId="57702FC5" w14:textId="77777777" w:rsidR="00967279" w:rsidRDefault="00967279" w:rsidP="00967279">
      <w:pPr>
        <w:pStyle w:val="NormalWeb"/>
        <w:ind w:left="720"/>
      </w:pPr>
      <w:hyperlink r:id="rId24" w:tooltip="6C order denying stay" w:history="1">
        <w:r>
          <w:rPr>
            <w:rStyle w:val="Hyperlink"/>
            <w:color w:val="000080"/>
          </w:rPr>
          <w:t>6C order denying stay</w:t>
        </w:r>
      </w:hyperlink>
    </w:p>
    <w:p w14:paraId="04528F4A" w14:textId="6394A645" w:rsidR="00967279" w:rsidRDefault="00117BF5">
      <w:r>
        <w:t>a</w:t>
      </w:r>
      <w:r w:rsidR="00967279">
        <w:t>nd briefing is underway: Tiger Lily filed its appellate brief June 11.)</w:t>
      </w:r>
    </w:p>
    <w:p w14:paraId="713FFA1A" w14:textId="54414251" w:rsidR="003B42F6" w:rsidRDefault="00B8569C">
      <w:r>
        <w:lastRenderedPageBreak/>
        <w:t>The third pro-landlord judgment was in the Alabama Association of Realtors case:</w:t>
      </w:r>
    </w:p>
    <w:p w14:paraId="3E8FA7BB" w14:textId="77777777" w:rsidR="00B8569C" w:rsidRPr="00C55E49" w:rsidRDefault="00B8569C" w:rsidP="00B8569C">
      <w:pPr>
        <w:rPr>
          <w:rFonts w:cstheme="minorHAnsi"/>
        </w:rPr>
      </w:pPr>
      <w:r w:rsidRPr="00C55E49">
        <w:rPr>
          <w:rStyle w:val="Emphasis"/>
          <w:rFonts w:cstheme="minorHAnsi"/>
        </w:rPr>
        <w:t xml:space="preserve">Alabama </w:t>
      </w:r>
      <w:proofErr w:type="spellStart"/>
      <w:r w:rsidRPr="00C55E49">
        <w:rPr>
          <w:rStyle w:val="Emphasis"/>
          <w:rFonts w:cstheme="minorHAnsi"/>
        </w:rPr>
        <w:t>Ass’n</w:t>
      </w:r>
      <w:proofErr w:type="spellEnd"/>
      <w:r w:rsidRPr="00C55E49">
        <w:rPr>
          <w:rStyle w:val="Emphasis"/>
          <w:rFonts w:cstheme="minorHAnsi"/>
        </w:rPr>
        <w:t xml:space="preserve"> of Realtors v. U.S. D.H.H.S.</w:t>
      </w:r>
      <w:r w:rsidRPr="00C55E49">
        <w:rPr>
          <w:rFonts w:cstheme="minorHAnsi"/>
        </w:rPr>
        <w:t>, No. 1:20-cv-3377 (D. D.C.)</w:t>
      </w:r>
    </w:p>
    <w:p w14:paraId="2822957D" w14:textId="77777777" w:rsidR="00B8569C" w:rsidRPr="00C55E49" w:rsidRDefault="00B8569C" w:rsidP="00B8569C">
      <w:pPr>
        <w:pStyle w:val="NormalWeb"/>
        <w:ind w:left="720"/>
        <w:rPr>
          <w:rFonts w:asciiTheme="minorHAnsi" w:hAnsiTheme="minorHAnsi" w:cstheme="minorHAnsi"/>
          <w:sz w:val="22"/>
          <w:szCs w:val="22"/>
        </w:rPr>
      </w:pPr>
      <w:r w:rsidRPr="00C55E49">
        <w:rPr>
          <w:rFonts w:asciiTheme="minorHAnsi" w:hAnsiTheme="minorHAnsi" w:cstheme="minorHAnsi"/>
          <w:sz w:val="22"/>
          <w:szCs w:val="22"/>
        </w:rPr>
        <w:t>Opinion, May 5, 2021</w:t>
      </w:r>
    </w:p>
    <w:p w14:paraId="51CDAD1B" w14:textId="77777777" w:rsidR="00B8569C" w:rsidRPr="00C55E49" w:rsidRDefault="00B8569C" w:rsidP="00B8569C">
      <w:pPr>
        <w:pStyle w:val="NormalWeb"/>
        <w:ind w:left="720"/>
        <w:rPr>
          <w:rFonts w:asciiTheme="minorHAnsi" w:hAnsiTheme="minorHAnsi" w:cstheme="minorHAnsi"/>
          <w:sz w:val="22"/>
          <w:szCs w:val="22"/>
        </w:rPr>
      </w:pPr>
      <w:hyperlink r:id="rId25" w:tooltip="7114760-0--88370" w:history="1">
        <w:r w:rsidRPr="00C55E49">
          <w:rPr>
            <w:rStyle w:val="Hyperlink"/>
            <w:rFonts w:asciiTheme="minorHAnsi" w:hAnsiTheme="minorHAnsi" w:cstheme="minorHAnsi"/>
            <w:sz w:val="22"/>
            <w:szCs w:val="22"/>
          </w:rPr>
          <w:t>7114760-0–88370</w:t>
        </w:r>
      </w:hyperlink>
    </w:p>
    <w:p w14:paraId="5A76D6B3" w14:textId="77777777" w:rsidR="00B8569C" w:rsidRPr="00C55E49" w:rsidRDefault="00B8569C" w:rsidP="00B8569C">
      <w:pPr>
        <w:pStyle w:val="NormalWeb"/>
        <w:ind w:left="720"/>
        <w:rPr>
          <w:rFonts w:asciiTheme="minorHAnsi" w:hAnsiTheme="minorHAnsi" w:cstheme="minorHAnsi"/>
          <w:sz w:val="22"/>
          <w:szCs w:val="22"/>
        </w:rPr>
      </w:pPr>
      <w:r w:rsidRPr="00C55E49">
        <w:rPr>
          <w:rFonts w:asciiTheme="minorHAnsi" w:hAnsiTheme="minorHAnsi" w:cstheme="minorHAnsi"/>
          <w:sz w:val="22"/>
          <w:szCs w:val="22"/>
        </w:rPr>
        <w:t>Order, May 5, 2021</w:t>
      </w:r>
    </w:p>
    <w:p w14:paraId="1C176E77" w14:textId="77777777" w:rsidR="00B8569C" w:rsidRPr="00C55E49" w:rsidRDefault="00B8569C" w:rsidP="00B8569C">
      <w:pPr>
        <w:pStyle w:val="NormalWeb"/>
        <w:ind w:left="720"/>
        <w:rPr>
          <w:rFonts w:asciiTheme="minorHAnsi" w:hAnsiTheme="minorHAnsi" w:cstheme="minorHAnsi"/>
          <w:sz w:val="22"/>
          <w:szCs w:val="22"/>
        </w:rPr>
      </w:pPr>
      <w:hyperlink r:id="rId26" w:tooltip="7114736-0--88125" w:history="1">
        <w:r w:rsidRPr="00C55E49">
          <w:rPr>
            <w:rStyle w:val="Hyperlink"/>
            <w:rFonts w:asciiTheme="minorHAnsi" w:hAnsiTheme="minorHAnsi" w:cstheme="minorHAnsi"/>
            <w:sz w:val="22"/>
            <w:szCs w:val="22"/>
          </w:rPr>
          <w:t>7114736-0–88125</w:t>
        </w:r>
      </w:hyperlink>
    </w:p>
    <w:p w14:paraId="669A0A72" w14:textId="41CEFC22" w:rsidR="00B8569C" w:rsidRDefault="00B8569C">
      <w:r>
        <w:t>(The D.C. Circuit panel’s observations on the merits were:</w:t>
      </w:r>
    </w:p>
    <w:p w14:paraId="76B3F4E5" w14:textId="77777777" w:rsidR="00B8569C" w:rsidRPr="00C55E49" w:rsidRDefault="00B8569C" w:rsidP="00B8569C">
      <w:pPr>
        <w:ind w:left="720"/>
        <w:rPr>
          <w:rFonts w:cstheme="minorHAnsi"/>
        </w:rPr>
      </w:pPr>
      <w:r w:rsidRPr="00C55E49">
        <w:rPr>
          <w:rFonts w:cstheme="minorHAnsi"/>
        </w:rPr>
        <w:t>Or</w:t>
      </w:r>
      <w:r w:rsidRPr="00C55E49">
        <w:rPr>
          <w:rFonts w:cstheme="minorHAnsi"/>
          <w:color w:val="000080"/>
        </w:rPr>
        <w:t>der in No. 21-5093, June 2, 2021</w:t>
      </w:r>
    </w:p>
    <w:p w14:paraId="70C6F385" w14:textId="77777777" w:rsidR="00B8569C" w:rsidRPr="00C55E49" w:rsidRDefault="00B8569C" w:rsidP="00B8569C">
      <w:pPr>
        <w:pStyle w:val="NormalWeb"/>
        <w:ind w:left="720"/>
        <w:rPr>
          <w:rFonts w:asciiTheme="minorHAnsi" w:hAnsiTheme="minorHAnsi" w:cstheme="minorHAnsi"/>
          <w:sz w:val="22"/>
          <w:szCs w:val="22"/>
        </w:rPr>
      </w:pPr>
      <w:hyperlink r:id="rId27" w:tooltip="DCC order on stay 6 2 21" w:history="1">
        <w:r w:rsidRPr="00C55E49">
          <w:rPr>
            <w:rStyle w:val="Hyperlink"/>
            <w:rFonts w:asciiTheme="minorHAnsi" w:hAnsiTheme="minorHAnsi" w:cstheme="minorHAnsi"/>
            <w:color w:val="000080"/>
            <w:sz w:val="22"/>
            <w:szCs w:val="22"/>
          </w:rPr>
          <w:t>DCC order on stay 6 2 21</w:t>
        </w:r>
      </w:hyperlink>
    </w:p>
    <w:p w14:paraId="3CAB8203" w14:textId="45EE9B25" w:rsidR="00B8569C" w:rsidRDefault="00B8569C">
      <w:r>
        <w:t>And, of course, now the Supreme Court will weigh in.)</w:t>
      </w:r>
    </w:p>
    <w:p w14:paraId="6DC2A24C" w14:textId="766634E4" w:rsidR="00B8569C" w:rsidRDefault="00B8569C">
      <w:r>
        <w:t xml:space="preserve">A district court decision declining to enjoin the CDC eviction moratorium was in </w:t>
      </w:r>
      <w:r w:rsidRPr="00B8569C">
        <w:rPr>
          <w:i/>
          <w:iCs/>
        </w:rPr>
        <w:t>Chambless Enterprises</w:t>
      </w:r>
      <w:r>
        <w:t>:</w:t>
      </w:r>
    </w:p>
    <w:p w14:paraId="3719E16B" w14:textId="77777777" w:rsidR="00B8569C" w:rsidRPr="00E12AB4" w:rsidRDefault="00B8569C" w:rsidP="00E12AB4">
      <w:pPr>
        <w:pStyle w:val="NormalWeb"/>
        <w:ind w:left="720"/>
        <w:rPr>
          <w:rFonts w:asciiTheme="minorHAnsi" w:hAnsiTheme="minorHAnsi" w:cstheme="minorHAnsi"/>
          <w:sz w:val="22"/>
          <w:szCs w:val="22"/>
        </w:rPr>
      </w:pPr>
      <w:r w:rsidRPr="00E12AB4">
        <w:rPr>
          <w:rFonts w:asciiTheme="minorHAnsi" w:hAnsiTheme="minorHAnsi" w:cstheme="minorHAnsi"/>
          <w:sz w:val="22"/>
          <w:szCs w:val="22"/>
        </w:rPr>
        <w:t>Ruling, Dec. 20, 2020</w:t>
      </w:r>
    </w:p>
    <w:p w14:paraId="76E99179" w14:textId="77777777" w:rsidR="00B8569C" w:rsidRDefault="00B8569C" w:rsidP="00E12AB4">
      <w:pPr>
        <w:pStyle w:val="NormalWeb"/>
        <w:ind w:left="720"/>
      </w:pPr>
      <w:hyperlink r:id="rId28" w:tooltip="Chambless ruling" w:history="1">
        <w:r w:rsidRPr="00E12AB4">
          <w:rPr>
            <w:rStyle w:val="Hyperlink"/>
            <w:rFonts w:asciiTheme="minorHAnsi" w:hAnsiTheme="minorHAnsi" w:cstheme="minorHAnsi"/>
            <w:sz w:val="22"/>
            <w:szCs w:val="22"/>
          </w:rPr>
          <w:t>Chambless</w:t>
        </w:r>
        <w:r w:rsidRPr="00E12AB4">
          <w:rPr>
            <w:rStyle w:val="Hyperlink"/>
            <w:rFonts w:asciiTheme="minorHAnsi" w:hAnsiTheme="minorHAnsi" w:cstheme="minorHAnsi"/>
            <w:sz w:val="22"/>
            <w:szCs w:val="22"/>
          </w:rPr>
          <w:t xml:space="preserve"> </w:t>
        </w:r>
        <w:r w:rsidRPr="00E12AB4">
          <w:rPr>
            <w:rStyle w:val="Hyperlink"/>
            <w:rFonts w:asciiTheme="minorHAnsi" w:hAnsiTheme="minorHAnsi" w:cstheme="minorHAnsi"/>
            <w:sz w:val="22"/>
            <w:szCs w:val="22"/>
          </w:rPr>
          <w:t>ruling</w:t>
        </w:r>
      </w:hyperlink>
    </w:p>
    <w:p w14:paraId="2D024D84" w14:textId="2236CBDB" w:rsidR="00B8569C" w:rsidRDefault="00E12AB4">
      <w:r>
        <w:t>(The landlords’ Fifth Circuit appeal is now fully briefed.)</w:t>
      </w:r>
    </w:p>
    <w:p w14:paraId="6844FF73" w14:textId="3111E678" w:rsidR="003B42F6" w:rsidRPr="00A3612E" w:rsidRDefault="00A3612E">
      <w:pPr>
        <w:rPr>
          <w:u w:val="single"/>
        </w:rPr>
      </w:pPr>
      <w:r w:rsidRPr="00A3612E">
        <w:rPr>
          <w:u w:val="single"/>
        </w:rPr>
        <w:t>Conclusion</w:t>
      </w:r>
    </w:p>
    <w:p w14:paraId="16C34936" w14:textId="31F27032" w:rsidR="00A3612E" w:rsidRDefault="00A3612E">
      <w:r>
        <w:t>The current CDC eviction moratorium expires June 30, and the agency has not yet announced whether it plans to extend it.</w:t>
      </w:r>
    </w:p>
    <w:p w14:paraId="3CC6EFBA" w14:textId="4C0FAE28" w:rsidR="00A3612E" w:rsidRDefault="00A3612E">
      <w:r>
        <w:t>Links to other materials on these cases may be found at</w:t>
      </w:r>
      <w:r w:rsidRPr="00A3612E">
        <w:t xml:space="preserve"> </w:t>
      </w:r>
      <w:hyperlink r:id="rId29" w:history="1">
        <w:r w:rsidRPr="001E7762">
          <w:rPr>
            <w:rStyle w:val="Hyperlink"/>
          </w:rPr>
          <w:t>https://affordablecareactlitigation.com/cdc/</w:t>
        </w:r>
      </w:hyperlink>
      <w:r>
        <w:t xml:space="preserve">, which also includes materials on the States of Florida’s case against the CDC, which Alaska and Texas would like to join, about </w:t>
      </w:r>
      <w:r w:rsidR="008D08EB">
        <w:t xml:space="preserve">… cruise ships.  </w:t>
      </w:r>
      <w:proofErr w:type="gramStart"/>
      <w:r w:rsidR="008D08EB">
        <w:t>There’s</w:t>
      </w:r>
      <w:proofErr w:type="gramEnd"/>
      <w:r w:rsidR="008D08EB">
        <w:t xml:space="preserve"> a CDC Congressional ratification argument there too!</w:t>
      </w:r>
    </w:p>
    <w:p w14:paraId="7D6332D3" w14:textId="12E16463" w:rsidR="008D08EB" w:rsidRPr="008D08EB" w:rsidRDefault="008D08EB" w:rsidP="008D08EB">
      <w:pPr>
        <w:pStyle w:val="NormalWeb"/>
        <w:rPr>
          <w:rFonts w:asciiTheme="minorHAnsi" w:hAnsiTheme="minorHAnsi" w:cstheme="minorHAnsi"/>
          <w:sz w:val="22"/>
          <w:szCs w:val="22"/>
        </w:rPr>
      </w:pPr>
      <w:r w:rsidRPr="008D08EB">
        <w:rPr>
          <w:rStyle w:val="Emphasis"/>
          <w:rFonts w:asciiTheme="minorHAnsi" w:hAnsiTheme="minorHAnsi" w:cstheme="minorHAnsi"/>
          <w:sz w:val="22"/>
          <w:szCs w:val="22"/>
        </w:rPr>
        <w:t>Florida v. Becerra</w:t>
      </w:r>
      <w:r w:rsidRPr="008D08EB">
        <w:rPr>
          <w:rFonts w:asciiTheme="minorHAnsi" w:hAnsiTheme="minorHAnsi" w:cstheme="minorHAnsi"/>
          <w:sz w:val="22"/>
          <w:szCs w:val="22"/>
        </w:rPr>
        <w:t>, No. 8:21-cv-839 (M.D. Fla., filed April 8, 2021)</w:t>
      </w:r>
    </w:p>
    <w:p w14:paraId="60B90FEF" w14:textId="7B260A39" w:rsidR="008D08EB" w:rsidRPr="008D08EB" w:rsidRDefault="008D08EB" w:rsidP="008D08EB">
      <w:pPr>
        <w:pStyle w:val="NormalWeb"/>
        <w:ind w:left="720"/>
        <w:rPr>
          <w:rFonts w:asciiTheme="minorHAnsi" w:hAnsiTheme="minorHAnsi" w:cstheme="minorHAnsi"/>
          <w:sz w:val="22"/>
          <w:szCs w:val="22"/>
        </w:rPr>
      </w:pPr>
      <w:r w:rsidRPr="008D08EB">
        <w:rPr>
          <w:rFonts w:asciiTheme="minorHAnsi" w:hAnsiTheme="minorHAnsi" w:cstheme="minorHAnsi"/>
          <w:sz w:val="22"/>
          <w:szCs w:val="22"/>
        </w:rPr>
        <w:t>US supplemental brief, June 7, 2021</w:t>
      </w:r>
    </w:p>
    <w:p w14:paraId="36A52754" w14:textId="77777777" w:rsidR="008D08EB" w:rsidRPr="008D08EB" w:rsidRDefault="008D08EB" w:rsidP="008D08EB">
      <w:pPr>
        <w:pStyle w:val="NormalWeb"/>
        <w:ind w:left="720"/>
        <w:rPr>
          <w:rFonts w:asciiTheme="minorHAnsi" w:hAnsiTheme="minorHAnsi" w:cstheme="minorHAnsi"/>
          <w:sz w:val="22"/>
          <w:szCs w:val="22"/>
        </w:rPr>
      </w:pPr>
      <w:hyperlink r:id="rId30" w:tooltip="US supp br 6 7 21" w:history="1">
        <w:r w:rsidRPr="008D08EB">
          <w:rPr>
            <w:rStyle w:val="Hyperlink"/>
            <w:rFonts w:asciiTheme="minorHAnsi" w:hAnsiTheme="minorHAnsi" w:cstheme="minorHAnsi"/>
            <w:sz w:val="22"/>
            <w:szCs w:val="22"/>
          </w:rPr>
          <w:t xml:space="preserve">US supp </w:t>
        </w:r>
        <w:proofErr w:type="spellStart"/>
        <w:r w:rsidRPr="008D08EB">
          <w:rPr>
            <w:rStyle w:val="Hyperlink"/>
            <w:rFonts w:asciiTheme="minorHAnsi" w:hAnsiTheme="minorHAnsi" w:cstheme="minorHAnsi"/>
            <w:sz w:val="22"/>
            <w:szCs w:val="22"/>
          </w:rPr>
          <w:t>br</w:t>
        </w:r>
        <w:proofErr w:type="spellEnd"/>
        <w:r w:rsidRPr="008D08EB">
          <w:rPr>
            <w:rStyle w:val="Hyperlink"/>
            <w:rFonts w:asciiTheme="minorHAnsi" w:hAnsiTheme="minorHAnsi" w:cstheme="minorHAnsi"/>
            <w:sz w:val="22"/>
            <w:szCs w:val="22"/>
          </w:rPr>
          <w:t xml:space="preserve"> 6 7 21</w:t>
        </w:r>
      </w:hyperlink>
    </w:p>
    <w:p w14:paraId="78E2A3BE" w14:textId="77777777" w:rsidR="008D08EB" w:rsidRPr="008D08EB" w:rsidRDefault="008D08EB" w:rsidP="008D08EB">
      <w:pPr>
        <w:pStyle w:val="NormalWeb"/>
        <w:ind w:left="720"/>
        <w:rPr>
          <w:rFonts w:asciiTheme="minorHAnsi" w:hAnsiTheme="minorHAnsi" w:cstheme="minorHAnsi"/>
          <w:sz w:val="22"/>
          <w:szCs w:val="22"/>
        </w:rPr>
      </w:pPr>
      <w:r w:rsidRPr="008D08EB">
        <w:rPr>
          <w:rFonts w:asciiTheme="minorHAnsi" w:hAnsiTheme="minorHAnsi" w:cstheme="minorHAnsi"/>
          <w:sz w:val="22"/>
          <w:szCs w:val="22"/>
        </w:rPr>
        <w:t>Florida response to supplemental brief, June 9, 2021</w:t>
      </w:r>
    </w:p>
    <w:p w14:paraId="29B0B53F" w14:textId="77777777" w:rsidR="008D08EB" w:rsidRPr="008D08EB" w:rsidRDefault="008D08EB" w:rsidP="008D08EB">
      <w:pPr>
        <w:pStyle w:val="NormalWeb"/>
        <w:ind w:left="720"/>
        <w:rPr>
          <w:rFonts w:asciiTheme="minorHAnsi" w:hAnsiTheme="minorHAnsi" w:cstheme="minorHAnsi"/>
          <w:sz w:val="22"/>
          <w:szCs w:val="22"/>
        </w:rPr>
      </w:pPr>
      <w:hyperlink r:id="rId31" w:history="1">
        <w:r w:rsidRPr="008D08EB">
          <w:rPr>
            <w:rStyle w:val="Hyperlink"/>
            <w:rFonts w:asciiTheme="minorHAnsi" w:hAnsiTheme="minorHAnsi" w:cstheme="minorHAnsi"/>
            <w:sz w:val="22"/>
            <w:szCs w:val="22"/>
          </w:rPr>
          <w:t>FL response re ratification</w:t>
        </w:r>
      </w:hyperlink>
    </w:p>
    <w:p w14:paraId="26D33170" w14:textId="77777777" w:rsidR="00A3612E" w:rsidRDefault="00A3612E"/>
    <w:sectPr w:rsidR="00A361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A92945"/>
    <w:multiLevelType w:val="hybridMultilevel"/>
    <w:tmpl w:val="26C00644"/>
    <w:lvl w:ilvl="0" w:tplc="2E76E964">
      <w:start w:val="2020"/>
      <w:numFmt w:val="bullet"/>
      <w:lvlText w:val=""/>
      <w:lvlJc w:val="left"/>
      <w:pPr>
        <w:ind w:left="720" w:hanging="360"/>
      </w:pPr>
      <w:rPr>
        <w:rFonts w:ascii="Symbol" w:eastAsiaTheme="minorHAnsi" w:hAnsi="Symbol" w:cs="ArialMT"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3F62BF"/>
    <w:multiLevelType w:val="hybridMultilevel"/>
    <w:tmpl w:val="957C23EC"/>
    <w:lvl w:ilvl="0" w:tplc="DA52FBE8">
      <w:start w:val="4"/>
      <w:numFmt w:val="bullet"/>
      <w:lvlText w:val=""/>
      <w:lvlJc w:val="left"/>
      <w:pPr>
        <w:ind w:left="720" w:hanging="360"/>
      </w:pPr>
      <w:rPr>
        <w:rFonts w:ascii="Symbol" w:eastAsiaTheme="minorHAnsi" w:hAnsi="Symbol" w:cs="ArialMT"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2F6"/>
    <w:rsid w:val="00117BF5"/>
    <w:rsid w:val="002504FE"/>
    <w:rsid w:val="00295E6A"/>
    <w:rsid w:val="003B42F6"/>
    <w:rsid w:val="006149AE"/>
    <w:rsid w:val="008D08EB"/>
    <w:rsid w:val="008D6CD2"/>
    <w:rsid w:val="00967279"/>
    <w:rsid w:val="00A3612E"/>
    <w:rsid w:val="00B8569C"/>
    <w:rsid w:val="00C55E49"/>
    <w:rsid w:val="00DA7E7A"/>
    <w:rsid w:val="00E12AB4"/>
    <w:rsid w:val="00E203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529E9"/>
  <w15:chartTrackingRefBased/>
  <w15:docId w15:val="{C76EFC38-E10D-466E-A679-FB37EE2EE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B42F6"/>
    <w:rPr>
      <w:i/>
      <w:iCs/>
    </w:rPr>
  </w:style>
  <w:style w:type="paragraph" w:styleId="NormalWeb">
    <w:name w:val="Normal (Web)"/>
    <w:basedOn w:val="Normal"/>
    <w:uiPriority w:val="99"/>
    <w:semiHidden/>
    <w:unhideWhenUsed/>
    <w:rsid w:val="0096727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67279"/>
    <w:rPr>
      <w:color w:val="0000FF"/>
      <w:u w:val="single"/>
    </w:rPr>
  </w:style>
  <w:style w:type="character" w:styleId="FollowedHyperlink">
    <w:name w:val="FollowedHyperlink"/>
    <w:basedOn w:val="DefaultParagraphFont"/>
    <w:uiPriority w:val="99"/>
    <w:semiHidden/>
    <w:unhideWhenUsed/>
    <w:rsid w:val="00DA7E7A"/>
    <w:rPr>
      <w:color w:val="954F72" w:themeColor="followedHyperlink"/>
      <w:u w:val="single"/>
    </w:rPr>
  </w:style>
  <w:style w:type="paragraph" w:styleId="ListParagraph">
    <w:name w:val="List Paragraph"/>
    <w:basedOn w:val="Normal"/>
    <w:uiPriority w:val="34"/>
    <w:qFormat/>
    <w:rsid w:val="00DA7E7A"/>
    <w:pPr>
      <w:ind w:left="720"/>
      <w:contextualSpacing/>
    </w:pPr>
  </w:style>
  <w:style w:type="character" w:styleId="UnresolvedMention">
    <w:name w:val="Unresolved Mention"/>
    <w:basedOn w:val="DefaultParagraphFont"/>
    <w:uiPriority w:val="99"/>
    <w:semiHidden/>
    <w:unhideWhenUsed/>
    <w:rsid w:val="00A361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043378">
      <w:bodyDiv w:val="1"/>
      <w:marLeft w:val="0"/>
      <w:marRight w:val="0"/>
      <w:marTop w:val="0"/>
      <w:marBottom w:val="0"/>
      <w:divBdr>
        <w:top w:val="none" w:sz="0" w:space="0" w:color="auto"/>
        <w:left w:val="none" w:sz="0" w:space="0" w:color="auto"/>
        <w:bottom w:val="none" w:sz="0" w:space="0" w:color="auto"/>
        <w:right w:val="none" w:sz="0" w:space="0" w:color="auto"/>
      </w:divBdr>
    </w:div>
    <w:div w:id="184710830">
      <w:bodyDiv w:val="1"/>
      <w:marLeft w:val="0"/>
      <w:marRight w:val="0"/>
      <w:marTop w:val="0"/>
      <w:marBottom w:val="0"/>
      <w:divBdr>
        <w:top w:val="none" w:sz="0" w:space="0" w:color="auto"/>
        <w:left w:val="none" w:sz="0" w:space="0" w:color="auto"/>
        <w:bottom w:val="none" w:sz="0" w:space="0" w:color="auto"/>
        <w:right w:val="none" w:sz="0" w:space="0" w:color="auto"/>
      </w:divBdr>
    </w:div>
    <w:div w:id="308706060">
      <w:bodyDiv w:val="1"/>
      <w:marLeft w:val="0"/>
      <w:marRight w:val="0"/>
      <w:marTop w:val="0"/>
      <w:marBottom w:val="0"/>
      <w:divBdr>
        <w:top w:val="none" w:sz="0" w:space="0" w:color="auto"/>
        <w:left w:val="none" w:sz="0" w:space="0" w:color="auto"/>
        <w:bottom w:val="none" w:sz="0" w:space="0" w:color="auto"/>
        <w:right w:val="none" w:sz="0" w:space="0" w:color="auto"/>
      </w:divBdr>
    </w:div>
    <w:div w:id="341929997">
      <w:bodyDiv w:val="1"/>
      <w:marLeft w:val="0"/>
      <w:marRight w:val="0"/>
      <w:marTop w:val="0"/>
      <w:marBottom w:val="0"/>
      <w:divBdr>
        <w:top w:val="none" w:sz="0" w:space="0" w:color="auto"/>
        <w:left w:val="none" w:sz="0" w:space="0" w:color="auto"/>
        <w:bottom w:val="none" w:sz="0" w:space="0" w:color="auto"/>
        <w:right w:val="none" w:sz="0" w:space="0" w:color="auto"/>
      </w:divBdr>
    </w:div>
    <w:div w:id="390545542">
      <w:bodyDiv w:val="1"/>
      <w:marLeft w:val="0"/>
      <w:marRight w:val="0"/>
      <w:marTop w:val="0"/>
      <w:marBottom w:val="0"/>
      <w:divBdr>
        <w:top w:val="none" w:sz="0" w:space="0" w:color="auto"/>
        <w:left w:val="none" w:sz="0" w:space="0" w:color="auto"/>
        <w:bottom w:val="none" w:sz="0" w:space="0" w:color="auto"/>
        <w:right w:val="none" w:sz="0" w:space="0" w:color="auto"/>
      </w:divBdr>
    </w:div>
    <w:div w:id="523204956">
      <w:bodyDiv w:val="1"/>
      <w:marLeft w:val="0"/>
      <w:marRight w:val="0"/>
      <w:marTop w:val="0"/>
      <w:marBottom w:val="0"/>
      <w:divBdr>
        <w:top w:val="none" w:sz="0" w:space="0" w:color="auto"/>
        <w:left w:val="none" w:sz="0" w:space="0" w:color="auto"/>
        <w:bottom w:val="none" w:sz="0" w:space="0" w:color="auto"/>
        <w:right w:val="none" w:sz="0" w:space="0" w:color="auto"/>
      </w:divBdr>
    </w:div>
    <w:div w:id="550924320">
      <w:bodyDiv w:val="1"/>
      <w:marLeft w:val="0"/>
      <w:marRight w:val="0"/>
      <w:marTop w:val="0"/>
      <w:marBottom w:val="0"/>
      <w:divBdr>
        <w:top w:val="none" w:sz="0" w:space="0" w:color="auto"/>
        <w:left w:val="none" w:sz="0" w:space="0" w:color="auto"/>
        <w:bottom w:val="none" w:sz="0" w:space="0" w:color="auto"/>
        <w:right w:val="none" w:sz="0" w:space="0" w:color="auto"/>
      </w:divBdr>
    </w:div>
    <w:div w:id="601642298">
      <w:bodyDiv w:val="1"/>
      <w:marLeft w:val="0"/>
      <w:marRight w:val="0"/>
      <w:marTop w:val="0"/>
      <w:marBottom w:val="0"/>
      <w:divBdr>
        <w:top w:val="none" w:sz="0" w:space="0" w:color="auto"/>
        <w:left w:val="none" w:sz="0" w:space="0" w:color="auto"/>
        <w:bottom w:val="none" w:sz="0" w:space="0" w:color="auto"/>
        <w:right w:val="none" w:sz="0" w:space="0" w:color="auto"/>
      </w:divBdr>
    </w:div>
    <w:div w:id="820119210">
      <w:bodyDiv w:val="1"/>
      <w:marLeft w:val="0"/>
      <w:marRight w:val="0"/>
      <w:marTop w:val="0"/>
      <w:marBottom w:val="0"/>
      <w:divBdr>
        <w:top w:val="none" w:sz="0" w:space="0" w:color="auto"/>
        <w:left w:val="none" w:sz="0" w:space="0" w:color="auto"/>
        <w:bottom w:val="none" w:sz="0" w:space="0" w:color="auto"/>
        <w:right w:val="none" w:sz="0" w:space="0" w:color="auto"/>
      </w:divBdr>
    </w:div>
    <w:div w:id="1038969297">
      <w:bodyDiv w:val="1"/>
      <w:marLeft w:val="0"/>
      <w:marRight w:val="0"/>
      <w:marTop w:val="0"/>
      <w:marBottom w:val="0"/>
      <w:divBdr>
        <w:top w:val="none" w:sz="0" w:space="0" w:color="auto"/>
        <w:left w:val="none" w:sz="0" w:space="0" w:color="auto"/>
        <w:bottom w:val="none" w:sz="0" w:space="0" w:color="auto"/>
        <w:right w:val="none" w:sz="0" w:space="0" w:color="auto"/>
      </w:divBdr>
    </w:div>
    <w:div w:id="1405254284">
      <w:bodyDiv w:val="1"/>
      <w:marLeft w:val="0"/>
      <w:marRight w:val="0"/>
      <w:marTop w:val="0"/>
      <w:marBottom w:val="0"/>
      <w:divBdr>
        <w:top w:val="none" w:sz="0" w:space="0" w:color="auto"/>
        <w:left w:val="none" w:sz="0" w:space="0" w:color="auto"/>
        <w:bottom w:val="none" w:sz="0" w:space="0" w:color="auto"/>
        <w:right w:val="none" w:sz="0" w:space="0" w:color="auto"/>
      </w:divBdr>
    </w:div>
    <w:div w:id="1461024228">
      <w:bodyDiv w:val="1"/>
      <w:marLeft w:val="0"/>
      <w:marRight w:val="0"/>
      <w:marTop w:val="0"/>
      <w:marBottom w:val="0"/>
      <w:divBdr>
        <w:top w:val="none" w:sz="0" w:space="0" w:color="auto"/>
        <w:left w:val="none" w:sz="0" w:space="0" w:color="auto"/>
        <w:bottom w:val="none" w:sz="0" w:space="0" w:color="auto"/>
        <w:right w:val="none" w:sz="0" w:space="0" w:color="auto"/>
      </w:divBdr>
    </w:div>
    <w:div w:id="1692413062">
      <w:bodyDiv w:val="1"/>
      <w:marLeft w:val="0"/>
      <w:marRight w:val="0"/>
      <w:marTop w:val="0"/>
      <w:marBottom w:val="0"/>
      <w:divBdr>
        <w:top w:val="none" w:sz="0" w:space="0" w:color="auto"/>
        <w:left w:val="none" w:sz="0" w:space="0" w:color="auto"/>
        <w:bottom w:val="none" w:sz="0" w:space="0" w:color="auto"/>
        <w:right w:val="none" w:sz="0" w:space="0" w:color="auto"/>
      </w:divBdr>
    </w:div>
    <w:div w:id="1760637097">
      <w:bodyDiv w:val="1"/>
      <w:marLeft w:val="0"/>
      <w:marRight w:val="0"/>
      <w:marTop w:val="0"/>
      <w:marBottom w:val="0"/>
      <w:divBdr>
        <w:top w:val="none" w:sz="0" w:space="0" w:color="auto"/>
        <w:left w:val="none" w:sz="0" w:space="0" w:color="auto"/>
        <w:bottom w:val="none" w:sz="0" w:space="0" w:color="auto"/>
        <w:right w:val="none" w:sz="0" w:space="0" w:color="auto"/>
      </w:divBdr>
    </w:div>
    <w:div w:id="204895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ffordablecareactlitigation.files.wordpress.com/2021/05/7133225-0-9774.pdf" TargetMode="External"/><Relationship Id="rId18" Type="http://schemas.openxmlformats.org/officeDocument/2006/relationships/hyperlink" Target="https://affordablecareactlitigation.files.wordpress.com/2021/04/12846304-0-66628.pdf" TargetMode="External"/><Relationship Id="rId26" Type="http://schemas.openxmlformats.org/officeDocument/2006/relationships/hyperlink" Target="https://affordablecareactlitigation.files.wordpress.com/2021/05/7114736-0-88125.pdf" TargetMode="External"/><Relationship Id="rId3" Type="http://schemas.openxmlformats.org/officeDocument/2006/relationships/settings" Target="settings.xml"/><Relationship Id="rId21" Type="http://schemas.openxmlformats.org/officeDocument/2006/relationships/hyperlink" Target="https://affordablecareactlitigation.files.wordpress.com/2021/06/skyworks-opinion-and-order-clarifying.pdf" TargetMode="External"/><Relationship Id="rId7" Type="http://schemas.openxmlformats.org/officeDocument/2006/relationships/hyperlink" Target="https://ecf.dcd.uscourts.gov/doc1/04508503779" TargetMode="External"/><Relationship Id="rId12" Type="http://schemas.openxmlformats.org/officeDocument/2006/relationships/hyperlink" Target="https://affordablecareactlitigation.files.wordpress.com/2021/05/7133241-0-10043.pdf" TargetMode="External"/><Relationship Id="rId17" Type="http://schemas.openxmlformats.org/officeDocument/2006/relationships/hyperlink" Target="https://affordablecareactlitigation.files.wordpress.com/2021/06/20210610160741010_20a169-alabama-realtors.pdf" TargetMode="External"/><Relationship Id="rId25" Type="http://schemas.openxmlformats.org/officeDocument/2006/relationships/hyperlink" Target="https://affordablecareactlitigation.files.wordpress.com/2021/05/7114760-0-88370.pdf"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affordablecareactlitigation.files.wordpress.com/2021/06/20210610135137833_final-combined-mtn-cdc-br.pdf" TargetMode="External"/><Relationship Id="rId20" Type="http://schemas.openxmlformats.org/officeDocument/2006/relationships/hyperlink" Target="https://affordablecareactlitigation.files.wordpress.com/2021/05/skyworks-declaratory-judgment.pdf" TargetMode="External"/><Relationship Id="rId29" Type="http://schemas.openxmlformats.org/officeDocument/2006/relationships/hyperlink" Target="https://affordablecareactlitigation.com/cdc/" TargetMode="External"/><Relationship Id="rId1" Type="http://schemas.openxmlformats.org/officeDocument/2006/relationships/numbering" Target="numbering.xml"/><Relationship Id="rId6" Type="http://schemas.openxmlformats.org/officeDocument/2006/relationships/hyperlink" Target="https://affordablecareactlitigation.files.wordpress.com/2021/05/7114736-0-88125.pdf" TargetMode="External"/><Relationship Id="rId11" Type="http://schemas.openxmlformats.org/officeDocument/2006/relationships/hyperlink" Target="https://ecf.dcd.uscourts.gov/doc1/04518501969" TargetMode="External"/><Relationship Id="rId24" Type="http://schemas.openxmlformats.org/officeDocument/2006/relationships/hyperlink" Target="https://affordablecareactlitigation.files.wordpress.com/2021/05/6c-order-denying-stay.pdf" TargetMode="External"/><Relationship Id="rId32" Type="http://schemas.openxmlformats.org/officeDocument/2006/relationships/fontTable" Target="fontTable.xml"/><Relationship Id="rId5" Type="http://schemas.openxmlformats.org/officeDocument/2006/relationships/hyperlink" Target="https://affordablecareactlitigation.files.wordpress.com/2021/05/7114760-0-88370.pdf" TargetMode="External"/><Relationship Id="rId15" Type="http://schemas.openxmlformats.org/officeDocument/2006/relationships/hyperlink" Target="https://affordablecareactlitigation.files.wordpress.com/2021/06/20210603170521964_scotus-application-to-vacate-stay.pdf" TargetMode="External"/><Relationship Id="rId23" Type="http://schemas.openxmlformats.org/officeDocument/2006/relationships/hyperlink" Target="https://affordablecareactlitigation.files.wordpress.com/2021/05/4118533-0-109474.pdf" TargetMode="External"/><Relationship Id="rId28" Type="http://schemas.openxmlformats.org/officeDocument/2006/relationships/hyperlink" Target="https://affordablecareactlitigation.files.wordpress.com/2021/06/chambless-ruling.pdf" TargetMode="External"/><Relationship Id="rId10" Type="http://schemas.openxmlformats.org/officeDocument/2006/relationships/hyperlink" Target="https://ecf.dcd.uscourts.gov/doc1/04508503779" TargetMode="External"/><Relationship Id="rId19" Type="http://schemas.openxmlformats.org/officeDocument/2006/relationships/hyperlink" Target="https://affordablecareactlitigation.files.wordpress.com/2021/05/skyworks-opinion-and-order.pdf" TargetMode="External"/><Relationship Id="rId31" Type="http://schemas.openxmlformats.org/officeDocument/2006/relationships/hyperlink" Target="https://affordablecareactlitigation.files.wordpress.com/2021/06/fl-response-re-ratification.pdf" TargetMode="External"/><Relationship Id="rId4" Type="http://schemas.openxmlformats.org/officeDocument/2006/relationships/webSettings" Target="webSettings.xml"/><Relationship Id="rId9" Type="http://schemas.openxmlformats.org/officeDocument/2006/relationships/hyperlink" Target="https://ecf.dcd.uscourts.gov/doc1/04518501969" TargetMode="External"/><Relationship Id="rId14" Type="http://schemas.openxmlformats.org/officeDocument/2006/relationships/hyperlink" Target="https://affordablecareactlitigation.files.wordpress.com/2021/06/dcc-order-on-stay-6-2-21.pdf" TargetMode="External"/><Relationship Id="rId22" Type="http://schemas.openxmlformats.org/officeDocument/2006/relationships/hyperlink" Target="https://affordablecareactlitigation.files.wordpress.com/2021/06/skyworks-judgment.pdf" TargetMode="External"/><Relationship Id="rId27" Type="http://schemas.openxmlformats.org/officeDocument/2006/relationships/hyperlink" Target="https://affordablecareactlitigation.files.wordpress.com/2021/06/dcc-order-on-stay-6-2-21.pdf" TargetMode="External"/><Relationship Id="rId30" Type="http://schemas.openxmlformats.org/officeDocument/2006/relationships/hyperlink" Target="https://affordablecareactlitigation.files.wordpress.com/2021/06/us-supp-br-6-7-21.pdf" TargetMode="External"/><Relationship Id="rId8" Type="http://schemas.openxmlformats.org/officeDocument/2006/relationships/hyperlink" Target="https://ecf.dcd.uscourts.gov/doc1/045185019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2737</Words>
  <Characters>15607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2</cp:revision>
  <dcterms:created xsi:type="dcterms:W3CDTF">2021-06-13T22:53:00Z</dcterms:created>
  <dcterms:modified xsi:type="dcterms:W3CDTF">2021-06-13T22:53:00Z</dcterms:modified>
</cp:coreProperties>
</file>