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3C6F04" w14:textId="1336A2C3" w:rsidR="009F7285" w:rsidRPr="00B573F2" w:rsidRDefault="00DC1B46" w:rsidP="00B573F2">
      <w:pPr>
        <w:jc w:val="center"/>
        <w:rPr>
          <w:rFonts w:cstheme="minorHAnsi"/>
          <w:u w:val="single"/>
        </w:rPr>
      </w:pPr>
      <w:r w:rsidRPr="00B573F2">
        <w:rPr>
          <w:rFonts w:cstheme="minorHAnsi"/>
          <w:u w:val="single"/>
        </w:rPr>
        <w:t>The Unworthy Immigration Agreement cases</w:t>
      </w:r>
    </w:p>
    <w:p w14:paraId="08936332" w14:textId="09382128" w:rsidR="00F1221A" w:rsidRPr="00B573F2" w:rsidRDefault="00ED73D8">
      <w:pPr>
        <w:rPr>
          <w:rFonts w:cstheme="minorHAnsi"/>
        </w:rPr>
      </w:pPr>
      <w:r w:rsidRPr="00B573F2">
        <w:rPr>
          <w:rFonts w:cstheme="minorHAnsi"/>
        </w:rPr>
        <w:t>Very l</w:t>
      </w:r>
      <w:r w:rsidR="00DC1B46" w:rsidRPr="00B573F2">
        <w:rPr>
          <w:rFonts w:cstheme="minorHAnsi"/>
        </w:rPr>
        <w:t xml:space="preserve">ate in the Trump Administration, Ken Cuccinelli, whose Wikipedia entry lists him as “Senior Official Performing the Duties of the Deputy Secretary of Homeland Security from 2019 to 2021,” entered into “Sanctuary for Americans First Enactment Agreement (SAFE)” agreements with states and local governments, including Texas, Arizona, </w:t>
      </w:r>
      <w:r w:rsidRPr="00B573F2">
        <w:rPr>
          <w:rFonts w:cstheme="minorHAnsi"/>
        </w:rPr>
        <w:t xml:space="preserve">Montana, </w:t>
      </w:r>
      <w:r w:rsidR="00DC1B46" w:rsidRPr="00B573F2">
        <w:rPr>
          <w:rFonts w:cstheme="minorHAnsi"/>
        </w:rPr>
        <w:t>and Rockingham County, NC.</w:t>
      </w:r>
      <w:r w:rsidR="00F1221A" w:rsidRPr="00B573F2">
        <w:rPr>
          <w:rFonts w:cstheme="minorHAnsi"/>
        </w:rPr>
        <w:t xml:space="preserve">  The Texas agreement: </w:t>
      </w:r>
      <w:hyperlink r:id="rId4" w:history="1">
        <w:r w:rsidR="00F1221A" w:rsidRPr="00B573F2">
          <w:rPr>
            <w:rStyle w:val="Hyperlink"/>
            <w:rFonts w:cstheme="minorHAnsi"/>
          </w:rPr>
          <w:t>US-Texas Agreement 12 31 20 1 8 21</w:t>
        </w:r>
      </w:hyperlink>
      <w:r w:rsidR="00F1221A" w:rsidRPr="00B573F2">
        <w:rPr>
          <w:rFonts w:cstheme="minorHAnsi"/>
        </w:rPr>
        <w:t xml:space="preserve">.  </w:t>
      </w:r>
      <w:r w:rsidR="00A02732" w:rsidRPr="00B573F2">
        <w:rPr>
          <w:rFonts w:cstheme="minorHAnsi"/>
        </w:rPr>
        <w:t xml:space="preserve">The Arizona agreement: </w:t>
      </w:r>
      <w:hyperlink r:id="rId5" w:tooltip="az-dhs-agreement" w:history="1">
        <w:proofErr w:type="spellStart"/>
        <w:r w:rsidR="00A02732" w:rsidRPr="00B573F2">
          <w:rPr>
            <w:rStyle w:val="Hyperlink"/>
            <w:rFonts w:cstheme="minorHAnsi"/>
          </w:rPr>
          <w:t>az</w:t>
        </w:r>
        <w:proofErr w:type="spellEnd"/>
        <w:r w:rsidR="00A02732" w:rsidRPr="00B573F2">
          <w:rPr>
            <w:rStyle w:val="Hyperlink"/>
            <w:rFonts w:cstheme="minorHAnsi"/>
          </w:rPr>
          <w:t>-</w:t>
        </w:r>
        <w:proofErr w:type="spellStart"/>
        <w:r w:rsidR="00A02732" w:rsidRPr="00B573F2">
          <w:rPr>
            <w:rStyle w:val="Hyperlink"/>
            <w:rFonts w:cstheme="minorHAnsi"/>
          </w:rPr>
          <w:t>dhs</w:t>
        </w:r>
        <w:proofErr w:type="spellEnd"/>
        <w:r w:rsidR="00A02732" w:rsidRPr="00B573F2">
          <w:rPr>
            <w:rStyle w:val="Hyperlink"/>
            <w:rFonts w:cstheme="minorHAnsi"/>
          </w:rPr>
          <w:t>-agreement</w:t>
        </w:r>
      </w:hyperlink>
      <w:r w:rsidRPr="00B573F2">
        <w:rPr>
          <w:rFonts w:cstheme="minorHAnsi"/>
        </w:rPr>
        <w:t>.</w:t>
      </w:r>
    </w:p>
    <w:p w14:paraId="3D682D24" w14:textId="036D76FF" w:rsidR="00F1221A" w:rsidRPr="00B573F2" w:rsidRDefault="00F1221A">
      <w:pPr>
        <w:rPr>
          <w:rFonts w:cstheme="minorHAnsi"/>
        </w:rPr>
      </w:pPr>
      <w:r w:rsidRPr="00B573F2">
        <w:rPr>
          <w:rFonts w:cstheme="minorHAnsi"/>
        </w:rPr>
        <w:t xml:space="preserve">Per a Pew Trusts article, </w:t>
      </w:r>
      <w:hyperlink r:id="rId6" w:history="1">
        <w:r w:rsidRPr="00B573F2">
          <w:rPr>
            <w:rStyle w:val="Hyperlink"/>
            <w:rFonts w:cstheme="minorHAnsi"/>
          </w:rPr>
          <w:t>https://www.pewtrusts.org/en/research-and-analysis/blogs/stateline/2021/02/12/biden-seeks-to-squelch-trump-immigration-deals-with-states</w:t>
        </w:r>
      </w:hyperlink>
      <w:r w:rsidRPr="00B573F2">
        <w:rPr>
          <w:rFonts w:cstheme="minorHAnsi"/>
        </w:rPr>
        <w:t xml:space="preserve">, “The deals </w:t>
      </w:r>
      <w:hyperlink r:id="rId7" w:history="1">
        <w:r w:rsidRPr="00B573F2">
          <w:rPr>
            <w:rStyle w:val="Hyperlink"/>
            <w:rFonts w:cstheme="minorHAnsi"/>
          </w:rPr>
          <w:t>contain an extensive list of pledges</w:t>
        </w:r>
      </w:hyperlink>
      <w:r w:rsidRPr="00B573F2">
        <w:rPr>
          <w:rFonts w:cstheme="minorHAnsi"/>
        </w:rPr>
        <w:t>, including that the United States won’t reduce its number of ICE agents, won’t pause or reduce deportations, won’t relax standards for release from detention and won’t relax standards for apprehension—at least not without consulting with each state’s attorney general.”</w:t>
      </w:r>
    </w:p>
    <w:p w14:paraId="5C5CAD0C" w14:textId="15978CD6" w:rsidR="00F1221A" w:rsidRPr="00B573F2" w:rsidRDefault="00A02732">
      <w:pPr>
        <w:rPr>
          <w:rFonts w:cstheme="minorHAnsi"/>
        </w:rPr>
      </w:pPr>
      <w:r w:rsidRPr="00B573F2">
        <w:rPr>
          <w:rFonts w:cstheme="minorHAnsi"/>
        </w:rPr>
        <w:t>After the Biden Administration took office, and announced a 100-day deportation pause, Texas</w:t>
      </w:r>
      <w:r w:rsidR="00ED73D8" w:rsidRPr="00B573F2">
        <w:rPr>
          <w:rFonts w:cstheme="minorHAnsi"/>
        </w:rPr>
        <w:t>,</w:t>
      </w:r>
      <w:r w:rsidRPr="00B573F2">
        <w:rPr>
          <w:rFonts w:cstheme="minorHAnsi"/>
        </w:rPr>
        <w:t xml:space="preserve"> </w:t>
      </w:r>
      <w:r w:rsidR="00ED73D8" w:rsidRPr="00B573F2">
        <w:rPr>
          <w:rFonts w:cstheme="minorHAnsi"/>
        </w:rPr>
        <w:t xml:space="preserve">and </w:t>
      </w:r>
      <w:r w:rsidRPr="00B573F2">
        <w:rPr>
          <w:rFonts w:cstheme="minorHAnsi"/>
        </w:rPr>
        <w:t>Arizona</w:t>
      </w:r>
      <w:r w:rsidR="00ED73D8" w:rsidRPr="00B573F2">
        <w:rPr>
          <w:rFonts w:cstheme="minorHAnsi"/>
        </w:rPr>
        <w:t xml:space="preserve"> and Montana together, </w:t>
      </w:r>
      <w:r w:rsidR="00891AB6" w:rsidRPr="00B573F2">
        <w:rPr>
          <w:rFonts w:cstheme="minorHAnsi"/>
        </w:rPr>
        <w:t xml:space="preserve">filed suit, </w:t>
      </w:r>
      <w:r w:rsidRPr="00B573F2">
        <w:rPr>
          <w:rFonts w:cstheme="minorHAnsi"/>
        </w:rPr>
        <w:t>relying in part on the SAFE agreements.</w:t>
      </w:r>
    </w:p>
    <w:p w14:paraId="7F545DD3" w14:textId="5F1832B4" w:rsidR="00A02732" w:rsidRPr="00B573F2" w:rsidRDefault="00A02732">
      <w:pPr>
        <w:rPr>
          <w:rFonts w:cstheme="minorHAnsi"/>
        </w:rPr>
      </w:pPr>
      <w:r w:rsidRPr="00B573F2">
        <w:rPr>
          <w:rStyle w:val="Emphasis"/>
          <w:rFonts w:cstheme="minorHAnsi"/>
        </w:rPr>
        <w:t>Texas v. U.S.</w:t>
      </w:r>
      <w:r w:rsidRPr="00B573F2">
        <w:rPr>
          <w:rFonts w:cstheme="minorHAnsi"/>
        </w:rPr>
        <w:t>, No. 6:21-cv-3 (S.D. Tex., filed January 22, 2021)</w:t>
      </w:r>
    </w:p>
    <w:p w14:paraId="2465591B" w14:textId="69BD352A" w:rsidR="00A02732" w:rsidRPr="00B573F2" w:rsidRDefault="00A02732">
      <w:pPr>
        <w:rPr>
          <w:rFonts w:cstheme="minorHAnsi"/>
        </w:rPr>
      </w:pPr>
      <w:r w:rsidRPr="00B573F2">
        <w:rPr>
          <w:rStyle w:val="Emphasis"/>
          <w:rFonts w:cstheme="minorHAnsi"/>
        </w:rPr>
        <w:t>Arizona v. U.S. D.H.S.</w:t>
      </w:r>
      <w:r w:rsidRPr="00B573F2">
        <w:rPr>
          <w:rFonts w:cstheme="minorHAnsi"/>
        </w:rPr>
        <w:t>, No. 2:21-cv-186 (D. Ariz., filed February 3, 2021)</w:t>
      </w:r>
    </w:p>
    <w:p w14:paraId="1AAD7636" w14:textId="37427D3F" w:rsidR="00ED73D8" w:rsidRPr="00B573F2" w:rsidRDefault="00ED73D8">
      <w:pPr>
        <w:rPr>
          <w:rFonts w:cstheme="minorHAnsi"/>
        </w:rPr>
      </w:pPr>
      <w:r w:rsidRPr="00B573F2">
        <w:rPr>
          <w:rFonts w:cstheme="minorHAnsi"/>
        </w:rPr>
        <w:t>Florida’s lawsuit relied only on the Administrative Procedures Act (and various Constitutional arguments).</w:t>
      </w:r>
    </w:p>
    <w:p w14:paraId="57207D90" w14:textId="0CCB9ADB" w:rsidR="00ED73D8" w:rsidRPr="00B573F2" w:rsidRDefault="00ED73D8">
      <w:pPr>
        <w:rPr>
          <w:rFonts w:cstheme="minorHAnsi"/>
        </w:rPr>
      </w:pPr>
      <w:r w:rsidRPr="00B573F2">
        <w:rPr>
          <w:rFonts w:cstheme="minorHAnsi"/>
          <w:i/>
          <w:iCs/>
        </w:rPr>
        <w:t>Florida v. United States</w:t>
      </w:r>
      <w:r w:rsidRPr="00B573F2">
        <w:rPr>
          <w:rFonts w:cstheme="minorHAnsi"/>
        </w:rPr>
        <w:t>, No. 8:21-cv-541 (M.D. Fla., filed March 8, 2021)</w:t>
      </w:r>
    </w:p>
    <w:p w14:paraId="7A007A2E" w14:textId="2024D6C1" w:rsidR="00ED73D8" w:rsidRPr="00B573F2" w:rsidRDefault="00ED73D8">
      <w:pPr>
        <w:rPr>
          <w:rFonts w:cstheme="minorHAnsi"/>
        </w:rPr>
      </w:pPr>
      <w:r w:rsidRPr="00B573F2">
        <w:rPr>
          <w:rFonts w:cstheme="minorHAnsi"/>
        </w:rPr>
        <w:t>In Arizona, pro-immigration litigants have also filed suit directly challenging Arizona’s SAFE agreement with ICE.</w:t>
      </w:r>
    </w:p>
    <w:p w14:paraId="404F7E2F" w14:textId="5A5D42E4" w:rsidR="00ED73D8" w:rsidRPr="00B573F2" w:rsidRDefault="00ED73D8">
      <w:pPr>
        <w:rPr>
          <w:rFonts w:cstheme="minorHAnsi"/>
        </w:rPr>
      </w:pPr>
      <w:r w:rsidRPr="00B573F2">
        <w:rPr>
          <w:rStyle w:val="Emphasis"/>
          <w:rFonts w:cstheme="minorHAnsi"/>
        </w:rPr>
        <w:t>Puente Human Rights Movement v. Brnovich</w:t>
      </w:r>
      <w:r w:rsidRPr="00B573F2">
        <w:rPr>
          <w:rFonts w:cstheme="minorHAnsi"/>
        </w:rPr>
        <w:t>, No. 2:21-cv-446 (D. Ariz., filed March 16, 2021)</w:t>
      </w:r>
    </w:p>
    <w:p w14:paraId="2C1946CE" w14:textId="7A54440D" w:rsidR="00891AB6" w:rsidRPr="00B573F2" w:rsidRDefault="00891AB6" w:rsidP="00A02732">
      <w:pPr>
        <w:pStyle w:val="NormalWeb"/>
        <w:rPr>
          <w:rFonts w:asciiTheme="minorHAnsi" w:hAnsiTheme="minorHAnsi" w:cstheme="minorHAnsi"/>
          <w:sz w:val="22"/>
          <w:szCs w:val="22"/>
        </w:rPr>
      </w:pPr>
      <w:proofErr w:type="gramStart"/>
      <w:r w:rsidRPr="00B573F2">
        <w:rPr>
          <w:rFonts w:asciiTheme="minorHAnsi" w:hAnsiTheme="minorHAnsi" w:cstheme="minorHAnsi"/>
          <w:sz w:val="22"/>
          <w:szCs w:val="22"/>
        </w:rPr>
        <w:t>Here’s</w:t>
      </w:r>
      <w:proofErr w:type="gramEnd"/>
      <w:r w:rsidRPr="00B573F2">
        <w:rPr>
          <w:rFonts w:asciiTheme="minorHAnsi" w:hAnsiTheme="minorHAnsi" w:cstheme="minorHAnsi"/>
          <w:sz w:val="22"/>
          <w:szCs w:val="22"/>
        </w:rPr>
        <w:t xml:space="preserve"> what’s happened so far.</w:t>
      </w:r>
    </w:p>
    <w:p w14:paraId="3560ED44" w14:textId="27957795" w:rsidR="00A02732" w:rsidRPr="00B573F2" w:rsidRDefault="00F1221A" w:rsidP="00A02732">
      <w:pPr>
        <w:pStyle w:val="NormalWeb"/>
        <w:rPr>
          <w:rFonts w:asciiTheme="minorHAnsi" w:hAnsiTheme="minorHAnsi" w:cstheme="minorHAnsi"/>
          <w:sz w:val="22"/>
          <w:szCs w:val="22"/>
        </w:rPr>
      </w:pPr>
      <w:r w:rsidRPr="00B573F2">
        <w:rPr>
          <w:rFonts w:asciiTheme="minorHAnsi" w:hAnsiTheme="minorHAnsi" w:cstheme="minorHAnsi"/>
          <w:b/>
          <w:bCs/>
          <w:sz w:val="22"/>
          <w:szCs w:val="22"/>
          <w:u w:val="single"/>
        </w:rPr>
        <w:t>Texas</w:t>
      </w:r>
      <w:r w:rsidRPr="00B573F2">
        <w:rPr>
          <w:rFonts w:asciiTheme="minorHAnsi" w:hAnsiTheme="minorHAnsi" w:cstheme="minorHAnsi"/>
          <w:sz w:val="22"/>
          <w:szCs w:val="22"/>
        </w:rPr>
        <w:t xml:space="preserve"> was able to get a preliminary injunction against the Biden Administration’s 100-day deportation pause </w:t>
      </w:r>
      <w:proofErr w:type="gramStart"/>
      <w:r w:rsidRPr="00B573F2">
        <w:rPr>
          <w:rFonts w:asciiTheme="minorHAnsi" w:hAnsiTheme="minorHAnsi" w:cstheme="minorHAnsi"/>
          <w:sz w:val="22"/>
          <w:szCs w:val="22"/>
        </w:rPr>
        <w:t>on the basis of</w:t>
      </w:r>
      <w:proofErr w:type="gramEnd"/>
      <w:r w:rsidRPr="00B573F2">
        <w:rPr>
          <w:rFonts w:asciiTheme="minorHAnsi" w:hAnsiTheme="minorHAnsi" w:cstheme="minorHAnsi"/>
          <w:sz w:val="22"/>
          <w:szCs w:val="22"/>
        </w:rPr>
        <w:t xml:space="preserve"> the Administrative Procedures Act, without needing to rely on the SAFE agreement.</w:t>
      </w:r>
      <w:r w:rsidR="00DC1B46" w:rsidRPr="00B573F2">
        <w:rPr>
          <w:rFonts w:asciiTheme="minorHAnsi" w:hAnsiTheme="minorHAnsi" w:cstheme="minorHAnsi"/>
          <w:sz w:val="22"/>
          <w:szCs w:val="22"/>
        </w:rPr>
        <w:t xml:space="preserve"> </w:t>
      </w:r>
    </w:p>
    <w:p w14:paraId="0AD5E439" w14:textId="2FADB0B5" w:rsidR="00A02732" w:rsidRPr="00B573F2" w:rsidRDefault="00A02732" w:rsidP="00A4194D">
      <w:pPr>
        <w:pStyle w:val="NormalWeb"/>
        <w:ind w:left="720"/>
        <w:rPr>
          <w:rFonts w:asciiTheme="minorHAnsi" w:hAnsiTheme="minorHAnsi" w:cstheme="minorHAnsi"/>
          <w:sz w:val="22"/>
          <w:szCs w:val="22"/>
        </w:rPr>
      </w:pPr>
      <w:r w:rsidRPr="00B573F2">
        <w:rPr>
          <w:rFonts w:asciiTheme="minorHAnsi" w:hAnsiTheme="minorHAnsi" w:cstheme="minorHAnsi"/>
          <w:sz w:val="22"/>
          <w:szCs w:val="22"/>
        </w:rPr>
        <w:t>Memorandum and order for preliminary injunction, February 23, 2021</w:t>
      </w:r>
    </w:p>
    <w:p w14:paraId="4AA105E5" w14:textId="6825798D" w:rsidR="00A02732" w:rsidRPr="00B573F2" w:rsidRDefault="00DE687E" w:rsidP="00A4194D">
      <w:pPr>
        <w:pStyle w:val="NormalWeb"/>
        <w:ind w:left="720"/>
        <w:rPr>
          <w:rFonts w:asciiTheme="minorHAnsi" w:hAnsiTheme="minorHAnsi" w:cstheme="minorHAnsi"/>
          <w:sz w:val="22"/>
          <w:szCs w:val="22"/>
        </w:rPr>
      </w:pPr>
      <w:hyperlink r:id="rId8" w:history="1">
        <w:r w:rsidR="00A02732" w:rsidRPr="00B573F2">
          <w:rPr>
            <w:rStyle w:val="Hyperlink"/>
            <w:rFonts w:asciiTheme="minorHAnsi" w:hAnsiTheme="minorHAnsi" w:cstheme="minorHAnsi"/>
            <w:sz w:val="22"/>
            <w:szCs w:val="22"/>
          </w:rPr>
          <w:t>Preliminary injunction 2 23 21</w:t>
        </w:r>
      </w:hyperlink>
    </w:p>
    <w:p w14:paraId="00B5069F" w14:textId="0BF59B6C" w:rsidR="00891AB6" w:rsidRPr="00B573F2" w:rsidRDefault="00891AB6" w:rsidP="00B573F2">
      <w:pPr>
        <w:pStyle w:val="NormalWeb"/>
        <w:rPr>
          <w:rFonts w:asciiTheme="minorHAnsi" w:hAnsiTheme="minorHAnsi" w:cstheme="minorHAnsi"/>
          <w:sz w:val="22"/>
          <w:szCs w:val="22"/>
        </w:rPr>
      </w:pPr>
      <w:r w:rsidRPr="00B573F2">
        <w:rPr>
          <w:rFonts w:asciiTheme="minorHAnsi" w:hAnsiTheme="minorHAnsi" w:cstheme="minorHAnsi"/>
          <w:sz w:val="22"/>
          <w:szCs w:val="22"/>
        </w:rPr>
        <w:t>Eventually, Texas dismissed its suit without prejudice.</w:t>
      </w:r>
    </w:p>
    <w:p w14:paraId="1C70F8EC" w14:textId="77777777" w:rsidR="00891AB6" w:rsidRPr="00B573F2" w:rsidRDefault="00891AB6" w:rsidP="00A4194D">
      <w:pPr>
        <w:pStyle w:val="NormalWeb"/>
        <w:ind w:left="720"/>
        <w:rPr>
          <w:rFonts w:asciiTheme="minorHAnsi" w:hAnsiTheme="minorHAnsi" w:cstheme="minorHAnsi"/>
          <w:sz w:val="22"/>
          <w:szCs w:val="22"/>
        </w:rPr>
      </w:pPr>
      <w:r w:rsidRPr="00B573F2">
        <w:rPr>
          <w:rFonts w:asciiTheme="minorHAnsi" w:hAnsiTheme="minorHAnsi" w:cstheme="minorHAnsi"/>
          <w:sz w:val="22"/>
          <w:szCs w:val="22"/>
        </w:rPr>
        <w:t>Stipulation for dismissal, May 20, 2021</w:t>
      </w:r>
    </w:p>
    <w:p w14:paraId="350A3F8A" w14:textId="77777777" w:rsidR="00891AB6" w:rsidRPr="00B573F2" w:rsidRDefault="00DE687E" w:rsidP="00A4194D">
      <w:pPr>
        <w:pStyle w:val="NormalWeb"/>
        <w:ind w:left="720"/>
        <w:rPr>
          <w:rFonts w:asciiTheme="minorHAnsi" w:hAnsiTheme="minorHAnsi" w:cstheme="minorHAnsi"/>
          <w:sz w:val="22"/>
          <w:szCs w:val="22"/>
        </w:rPr>
      </w:pPr>
      <w:hyperlink r:id="rId9" w:tooltip="TX stip dismissal" w:history="1">
        <w:r w:rsidR="00891AB6" w:rsidRPr="00B573F2">
          <w:rPr>
            <w:rStyle w:val="Hyperlink"/>
            <w:rFonts w:asciiTheme="minorHAnsi" w:hAnsiTheme="minorHAnsi" w:cstheme="minorHAnsi"/>
            <w:sz w:val="22"/>
            <w:szCs w:val="22"/>
          </w:rPr>
          <w:t xml:space="preserve">TX </w:t>
        </w:r>
        <w:proofErr w:type="spellStart"/>
        <w:r w:rsidR="00891AB6" w:rsidRPr="00B573F2">
          <w:rPr>
            <w:rStyle w:val="Hyperlink"/>
            <w:rFonts w:asciiTheme="minorHAnsi" w:hAnsiTheme="minorHAnsi" w:cstheme="minorHAnsi"/>
            <w:sz w:val="22"/>
            <w:szCs w:val="22"/>
          </w:rPr>
          <w:t>stip</w:t>
        </w:r>
        <w:proofErr w:type="spellEnd"/>
        <w:r w:rsidR="00891AB6" w:rsidRPr="00B573F2">
          <w:rPr>
            <w:rStyle w:val="Hyperlink"/>
            <w:rFonts w:asciiTheme="minorHAnsi" w:hAnsiTheme="minorHAnsi" w:cstheme="minorHAnsi"/>
            <w:sz w:val="22"/>
            <w:szCs w:val="22"/>
          </w:rPr>
          <w:t xml:space="preserve"> dismissal</w:t>
        </w:r>
      </w:hyperlink>
    </w:p>
    <w:p w14:paraId="6858300F" w14:textId="44AAC19F" w:rsidR="00891AB6" w:rsidRPr="00B573F2" w:rsidRDefault="00891AB6" w:rsidP="00A02732">
      <w:pPr>
        <w:pStyle w:val="NormalWeb"/>
        <w:rPr>
          <w:rFonts w:asciiTheme="minorHAnsi" w:hAnsiTheme="minorHAnsi" w:cstheme="minorHAnsi"/>
          <w:sz w:val="22"/>
          <w:szCs w:val="22"/>
        </w:rPr>
      </w:pPr>
      <w:r w:rsidRPr="00B573F2">
        <w:rPr>
          <w:rFonts w:asciiTheme="minorHAnsi" w:hAnsiTheme="minorHAnsi" w:cstheme="minorHAnsi"/>
          <w:sz w:val="22"/>
          <w:szCs w:val="22"/>
        </w:rPr>
        <w:t>The parties explained:</w:t>
      </w:r>
    </w:p>
    <w:p w14:paraId="6E679B64" w14:textId="77777777" w:rsidR="00891AB6" w:rsidRPr="00B573F2" w:rsidRDefault="00891AB6" w:rsidP="00891AB6">
      <w:pPr>
        <w:pStyle w:val="Default"/>
        <w:rPr>
          <w:rFonts w:asciiTheme="minorHAnsi" w:hAnsiTheme="minorHAnsi" w:cstheme="minorHAnsi"/>
          <w:sz w:val="22"/>
          <w:szCs w:val="22"/>
        </w:rPr>
      </w:pPr>
    </w:p>
    <w:p w14:paraId="17C12F5C" w14:textId="3C6B9BA3" w:rsidR="00891AB6" w:rsidRPr="00B573F2" w:rsidRDefault="00891AB6" w:rsidP="00891AB6">
      <w:pPr>
        <w:pStyle w:val="Default"/>
        <w:ind w:left="720" w:right="720"/>
        <w:rPr>
          <w:rFonts w:asciiTheme="minorHAnsi" w:hAnsiTheme="minorHAnsi" w:cstheme="minorHAnsi"/>
          <w:sz w:val="22"/>
          <w:szCs w:val="22"/>
        </w:rPr>
      </w:pPr>
      <w:r w:rsidRPr="00B573F2">
        <w:rPr>
          <w:rFonts w:asciiTheme="minorHAnsi" w:hAnsiTheme="minorHAnsi" w:cstheme="minorHAnsi"/>
          <w:sz w:val="22"/>
          <w:szCs w:val="22"/>
        </w:rPr>
        <w:t xml:space="preserve">The object of all of Plaintiff’s claims, the 100-day pause on the removal of aliens already subject to a final order of removal, previously enjoined by the Court, has expired. </w:t>
      </w:r>
    </w:p>
    <w:p w14:paraId="65D2DA69" w14:textId="3035474C" w:rsidR="00891AB6" w:rsidRDefault="00891AB6" w:rsidP="00891AB6">
      <w:pPr>
        <w:pStyle w:val="NormalWeb"/>
        <w:ind w:left="720" w:right="720"/>
        <w:rPr>
          <w:rFonts w:asciiTheme="minorHAnsi" w:hAnsiTheme="minorHAnsi" w:cstheme="minorHAnsi"/>
          <w:sz w:val="22"/>
          <w:szCs w:val="22"/>
        </w:rPr>
      </w:pPr>
      <w:proofErr w:type="gramStart"/>
      <w:r w:rsidRPr="00B573F2">
        <w:rPr>
          <w:rFonts w:asciiTheme="minorHAnsi" w:hAnsiTheme="minorHAnsi" w:cstheme="minorHAnsi"/>
          <w:sz w:val="22"/>
          <w:szCs w:val="22"/>
        </w:rPr>
        <w:t>In light of the fact that</w:t>
      </w:r>
      <w:proofErr w:type="gramEnd"/>
      <w:r w:rsidRPr="00B573F2">
        <w:rPr>
          <w:rFonts w:asciiTheme="minorHAnsi" w:hAnsiTheme="minorHAnsi" w:cstheme="minorHAnsi"/>
          <w:sz w:val="22"/>
          <w:szCs w:val="22"/>
        </w:rPr>
        <w:t xml:space="preserve"> the 100-day pause on removals has lapsed, Defendants further stipulate that they do not intend to extend or reinstate such a policy requiring a pause on the execution of final orders of removal for noncitizens. </w:t>
      </w:r>
      <w:r w:rsidRPr="00B573F2">
        <w:rPr>
          <w:rFonts w:asciiTheme="minorHAnsi" w:hAnsiTheme="minorHAnsi" w:cstheme="minorHAnsi"/>
          <w:i/>
          <w:iCs/>
          <w:sz w:val="22"/>
          <w:szCs w:val="22"/>
        </w:rPr>
        <w:t xml:space="preserve">See </w:t>
      </w:r>
      <w:r w:rsidRPr="00B573F2">
        <w:rPr>
          <w:rFonts w:asciiTheme="minorHAnsi" w:hAnsiTheme="minorHAnsi" w:cstheme="minorHAnsi"/>
          <w:sz w:val="22"/>
          <w:szCs w:val="22"/>
        </w:rPr>
        <w:t xml:space="preserve">DHS Statement on the Expiration of 100-day Removal Pause, available at </w:t>
      </w:r>
      <w:hyperlink r:id="rId10" w:history="1">
        <w:r w:rsidR="00B573F2" w:rsidRPr="001E7762">
          <w:rPr>
            <w:rStyle w:val="Hyperlink"/>
            <w:rFonts w:asciiTheme="minorHAnsi" w:hAnsiTheme="minorHAnsi" w:cstheme="minorHAnsi"/>
            <w:sz w:val="22"/>
            <w:szCs w:val="22"/>
          </w:rPr>
          <w:t>https://www.dhs.gov/news/2021/05/06/dhs-statement-expiration-100-day-removal-pause</w:t>
        </w:r>
      </w:hyperlink>
      <w:r w:rsidRPr="00B573F2">
        <w:rPr>
          <w:rFonts w:asciiTheme="minorHAnsi" w:hAnsiTheme="minorHAnsi" w:cstheme="minorHAnsi"/>
          <w:sz w:val="22"/>
          <w:szCs w:val="22"/>
        </w:rPr>
        <w:t>.</w:t>
      </w:r>
    </w:p>
    <w:p w14:paraId="06FD0BF9" w14:textId="600957DB" w:rsidR="00D2254D" w:rsidRDefault="00D2254D" w:rsidP="00D2254D">
      <w:pPr>
        <w:pStyle w:val="NormalWeb"/>
        <w:ind w:right="720"/>
        <w:rPr>
          <w:rFonts w:asciiTheme="minorHAnsi" w:hAnsiTheme="minorHAnsi" w:cstheme="minorHAnsi"/>
          <w:sz w:val="22"/>
          <w:szCs w:val="22"/>
        </w:rPr>
      </w:pPr>
      <w:r>
        <w:rPr>
          <w:rFonts w:asciiTheme="minorHAnsi" w:hAnsiTheme="minorHAnsi" w:cstheme="minorHAnsi"/>
          <w:sz w:val="22"/>
          <w:szCs w:val="22"/>
        </w:rPr>
        <w:t>There is, however, a second case in Judge Tipton’s courtroom, filed by Texas and Louisiana on April 6.  A motion for preliminary injunction was filed and fully briefed by May 25.</w:t>
      </w:r>
    </w:p>
    <w:p w14:paraId="0BC8B90D"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Texas and Louisiana v. U.S., No. 6:21-cv-16 (S.D. Tex., filed April 6, 2021)</w:t>
      </w:r>
    </w:p>
    <w:p w14:paraId="2E6FD7C1"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Complaint</w:t>
      </w:r>
    </w:p>
    <w:p w14:paraId="13B4CB27" w14:textId="77777777" w:rsidR="00D2254D" w:rsidRPr="00D2254D" w:rsidRDefault="00D2254D" w:rsidP="00D2254D">
      <w:pPr>
        <w:pStyle w:val="NormalWeb"/>
        <w:ind w:left="720"/>
        <w:rPr>
          <w:rFonts w:asciiTheme="minorHAnsi" w:hAnsiTheme="minorHAnsi" w:cstheme="minorHAnsi"/>
          <w:sz w:val="22"/>
          <w:szCs w:val="22"/>
        </w:rPr>
      </w:pPr>
      <w:hyperlink r:id="rId11" w:history="1">
        <w:r w:rsidRPr="00D2254D">
          <w:rPr>
            <w:rStyle w:val="Hyperlink"/>
            <w:rFonts w:asciiTheme="minorHAnsi" w:hAnsiTheme="minorHAnsi" w:cstheme="minorHAnsi"/>
            <w:sz w:val="22"/>
            <w:szCs w:val="22"/>
          </w:rPr>
          <w:t>Texas Louisiana complaint 4 6 21</w:t>
        </w:r>
      </w:hyperlink>
    </w:p>
    <w:p w14:paraId="19E247F3"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Plaintiffs’ preliminary injunction motion, April 27, 2021</w:t>
      </w:r>
    </w:p>
    <w:p w14:paraId="18EEF246" w14:textId="77777777" w:rsidR="00D2254D" w:rsidRPr="00D2254D" w:rsidRDefault="00D2254D" w:rsidP="00D2254D">
      <w:pPr>
        <w:pStyle w:val="NormalWeb"/>
        <w:ind w:left="720"/>
        <w:rPr>
          <w:rFonts w:asciiTheme="minorHAnsi" w:hAnsiTheme="minorHAnsi" w:cstheme="minorHAnsi"/>
          <w:sz w:val="22"/>
          <w:szCs w:val="22"/>
        </w:rPr>
      </w:pPr>
      <w:hyperlink r:id="rId12" w:history="1">
        <w:r w:rsidRPr="00D2254D">
          <w:rPr>
            <w:rStyle w:val="Hyperlink"/>
            <w:rFonts w:asciiTheme="minorHAnsi" w:hAnsiTheme="minorHAnsi" w:cstheme="minorHAnsi"/>
            <w:sz w:val="22"/>
            <w:szCs w:val="22"/>
          </w:rPr>
          <w:t xml:space="preserve">TL PI </w:t>
        </w:r>
        <w:proofErr w:type="spellStart"/>
        <w:r w:rsidRPr="00D2254D">
          <w:rPr>
            <w:rStyle w:val="Hyperlink"/>
            <w:rFonts w:asciiTheme="minorHAnsi" w:hAnsiTheme="minorHAnsi" w:cstheme="minorHAnsi"/>
            <w:sz w:val="22"/>
            <w:szCs w:val="22"/>
          </w:rPr>
          <w:t>mo</w:t>
        </w:r>
        <w:proofErr w:type="spellEnd"/>
      </w:hyperlink>
    </w:p>
    <w:p w14:paraId="21D1155D"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Advocates for Victims of Illegal Alien Crime amicus, May 11, 2021</w:t>
      </w:r>
    </w:p>
    <w:p w14:paraId="6D2D5185" w14:textId="77777777" w:rsidR="00D2254D" w:rsidRPr="00D2254D" w:rsidRDefault="00D2254D" w:rsidP="00D2254D">
      <w:pPr>
        <w:pStyle w:val="NormalWeb"/>
        <w:ind w:left="720"/>
        <w:rPr>
          <w:rFonts w:asciiTheme="minorHAnsi" w:hAnsiTheme="minorHAnsi" w:cstheme="minorHAnsi"/>
          <w:sz w:val="22"/>
          <w:szCs w:val="22"/>
        </w:rPr>
      </w:pPr>
      <w:hyperlink r:id="rId13" w:history="1">
        <w:r w:rsidRPr="00D2254D">
          <w:rPr>
            <w:rStyle w:val="Hyperlink"/>
            <w:rFonts w:asciiTheme="minorHAnsi" w:hAnsiTheme="minorHAnsi" w:cstheme="minorHAnsi"/>
            <w:sz w:val="22"/>
            <w:szCs w:val="22"/>
          </w:rPr>
          <w:t>TL advocates for victims of illegal alien crime amicus</w:t>
        </w:r>
      </w:hyperlink>
    </w:p>
    <w:p w14:paraId="7E9D591E"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Plaintiffs’ supplemental declaration (Clark), May 18, 2021</w:t>
      </w:r>
    </w:p>
    <w:p w14:paraId="7570D333" w14:textId="77777777" w:rsidR="00D2254D" w:rsidRPr="00D2254D" w:rsidRDefault="00D2254D" w:rsidP="00D2254D">
      <w:pPr>
        <w:pStyle w:val="NormalWeb"/>
        <w:ind w:left="720"/>
        <w:rPr>
          <w:rFonts w:asciiTheme="minorHAnsi" w:hAnsiTheme="minorHAnsi" w:cstheme="minorHAnsi"/>
          <w:sz w:val="22"/>
          <w:szCs w:val="22"/>
        </w:rPr>
      </w:pPr>
      <w:hyperlink r:id="rId14" w:history="1">
        <w:r w:rsidRPr="00D2254D">
          <w:rPr>
            <w:rStyle w:val="Hyperlink"/>
            <w:rFonts w:asciiTheme="minorHAnsi" w:hAnsiTheme="minorHAnsi" w:cstheme="minorHAnsi"/>
            <w:sz w:val="22"/>
            <w:szCs w:val="22"/>
          </w:rPr>
          <w:t xml:space="preserve">TL </w:t>
        </w:r>
        <w:proofErr w:type="spellStart"/>
        <w:r w:rsidRPr="00D2254D">
          <w:rPr>
            <w:rStyle w:val="Hyperlink"/>
            <w:rFonts w:asciiTheme="minorHAnsi" w:hAnsiTheme="minorHAnsi" w:cstheme="minorHAnsi"/>
            <w:sz w:val="22"/>
            <w:szCs w:val="22"/>
          </w:rPr>
          <w:t>pltf</w:t>
        </w:r>
        <w:proofErr w:type="spellEnd"/>
        <w:r w:rsidRPr="00D2254D">
          <w:rPr>
            <w:rStyle w:val="Hyperlink"/>
            <w:rFonts w:asciiTheme="minorHAnsi" w:hAnsiTheme="minorHAnsi" w:cstheme="minorHAnsi"/>
            <w:sz w:val="22"/>
            <w:szCs w:val="22"/>
          </w:rPr>
          <w:t xml:space="preserve"> supp dec Clark</w:t>
        </w:r>
      </w:hyperlink>
    </w:p>
    <w:p w14:paraId="04633CBF"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Defendants’ opposition to preliminary injunction, May 18, 2021</w:t>
      </w:r>
    </w:p>
    <w:p w14:paraId="6E1E308B" w14:textId="77777777" w:rsidR="00D2254D" w:rsidRPr="00D2254D" w:rsidRDefault="00D2254D" w:rsidP="00D2254D">
      <w:pPr>
        <w:pStyle w:val="NormalWeb"/>
        <w:ind w:left="720"/>
        <w:rPr>
          <w:rFonts w:asciiTheme="minorHAnsi" w:hAnsiTheme="minorHAnsi" w:cstheme="minorHAnsi"/>
          <w:sz w:val="22"/>
          <w:szCs w:val="22"/>
        </w:rPr>
      </w:pPr>
      <w:hyperlink r:id="rId15" w:history="1">
        <w:r w:rsidRPr="00D2254D">
          <w:rPr>
            <w:rStyle w:val="Hyperlink"/>
            <w:rFonts w:asciiTheme="minorHAnsi" w:hAnsiTheme="minorHAnsi" w:cstheme="minorHAnsi"/>
            <w:sz w:val="22"/>
            <w:szCs w:val="22"/>
          </w:rPr>
          <w:t>TL US PI op</w:t>
        </w:r>
      </w:hyperlink>
    </w:p>
    <w:p w14:paraId="17393770" w14:textId="77777777" w:rsidR="00D2254D" w:rsidRPr="00D2254D" w:rsidRDefault="00D2254D" w:rsidP="00D2254D">
      <w:pPr>
        <w:pStyle w:val="NormalWeb"/>
        <w:ind w:left="720"/>
        <w:rPr>
          <w:rFonts w:asciiTheme="minorHAnsi" w:hAnsiTheme="minorHAnsi" w:cstheme="minorHAnsi"/>
          <w:sz w:val="22"/>
          <w:szCs w:val="22"/>
        </w:rPr>
      </w:pPr>
      <w:r w:rsidRPr="00D2254D">
        <w:rPr>
          <w:rFonts w:asciiTheme="minorHAnsi" w:hAnsiTheme="minorHAnsi" w:cstheme="minorHAnsi"/>
          <w:sz w:val="22"/>
          <w:szCs w:val="22"/>
        </w:rPr>
        <w:t>Plaintiffs’ preliminary injunction reply, May 25, 2021</w:t>
      </w:r>
    </w:p>
    <w:p w14:paraId="09108FBE" w14:textId="77777777" w:rsidR="00D2254D" w:rsidRDefault="00D2254D" w:rsidP="00D2254D">
      <w:pPr>
        <w:pStyle w:val="NormalWeb"/>
        <w:ind w:left="720"/>
      </w:pPr>
      <w:hyperlink r:id="rId16" w:history="1">
        <w:r w:rsidRPr="00D2254D">
          <w:rPr>
            <w:rStyle w:val="Hyperlink"/>
            <w:rFonts w:asciiTheme="minorHAnsi" w:hAnsiTheme="minorHAnsi" w:cstheme="minorHAnsi"/>
            <w:sz w:val="22"/>
            <w:szCs w:val="22"/>
          </w:rPr>
          <w:t xml:space="preserve">TL </w:t>
        </w:r>
        <w:proofErr w:type="spellStart"/>
        <w:r w:rsidRPr="00D2254D">
          <w:rPr>
            <w:rStyle w:val="Hyperlink"/>
            <w:rFonts w:asciiTheme="minorHAnsi" w:hAnsiTheme="minorHAnsi" w:cstheme="minorHAnsi"/>
            <w:sz w:val="22"/>
            <w:szCs w:val="22"/>
          </w:rPr>
          <w:t>pltf</w:t>
        </w:r>
        <w:proofErr w:type="spellEnd"/>
        <w:r w:rsidRPr="00D2254D">
          <w:rPr>
            <w:rStyle w:val="Hyperlink"/>
            <w:rFonts w:asciiTheme="minorHAnsi" w:hAnsiTheme="minorHAnsi" w:cstheme="minorHAnsi"/>
            <w:sz w:val="22"/>
            <w:szCs w:val="22"/>
          </w:rPr>
          <w:t xml:space="preserve"> PI reply</w:t>
        </w:r>
      </w:hyperlink>
    </w:p>
    <w:p w14:paraId="75ED4252" w14:textId="5C4D307D" w:rsidR="00891AB6" w:rsidRPr="00B573F2" w:rsidRDefault="00891AB6" w:rsidP="00A02732">
      <w:pPr>
        <w:pStyle w:val="NormalWeb"/>
        <w:rPr>
          <w:rFonts w:asciiTheme="minorHAnsi" w:hAnsiTheme="minorHAnsi" w:cstheme="minorHAnsi"/>
          <w:sz w:val="22"/>
          <w:szCs w:val="22"/>
        </w:rPr>
      </w:pPr>
      <w:r w:rsidRPr="00B573F2">
        <w:rPr>
          <w:rFonts w:asciiTheme="minorHAnsi" w:hAnsiTheme="minorHAnsi" w:cstheme="minorHAnsi"/>
          <w:b/>
          <w:bCs/>
          <w:sz w:val="22"/>
          <w:szCs w:val="22"/>
          <w:u w:val="single"/>
        </w:rPr>
        <w:t>Arizona and Montana</w:t>
      </w:r>
      <w:r w:rsidRPr="00B573F2">
        <w:rPr>
          <w:rFonts w:asciiTheme="minorHAnsi" w:hAnsiTheme="minorHAnsi" w:cstheme="minorHAnsi"/>
          <w:sz w:val="22"/>
          <w:szCs w:val="22"/>
        </w:rPr>
        <w:t xml:space="preserve"> saw their motion for preliminary injunction against the 100-day deportation pause denied as </w:t>
      </w:r>
      <w:proofErr w:type="gramStart"/>
      <w:r w:rsidRPr="00B573F2">
        <w:rPr>
          <w:rFonts w:asciiTheme="minorHAnsi" w:hAnsiTheme="minorHAnsi" w:cstheme="minorHAnsi"/>
          <w:sz w:val="22"/>
          <w:szCs w:val="22"/>
        </w:rPr>
        <w:t>moot, but</w:t>
      </w:r>
      <w:proofErr w:type="gramEnd"/>
      <w:r w:rsidRPr="00B573F2">
        <w:rPr>
          <w:rFonts w:asciiTheme="minorHAnsi" w:hAnsiTheme="minorHAnsi" w:cstheme="minorHAnsi"/>
          <w:sz w:val="22"/>
          <w:szCs w:val="22"/>
        </w:rPr>
        <w:t xml:space="preserve"> were allowed to continue a challenge against a February 18 policy.</w:t>
      </w:r>
    </w:p>
    <w:p w14:paraId="40B601CE" w14:textId="77777777" w:rsidR="00891AB6" w:rsidRPr="00B573F2" w:rsidRDefault="00891AB6" w:rsidP="00A4194D">
      <w:pPr>
        <w:pStyle w:val="NormalWeb"/>
        <w:ind w:left="720"/>
        <w:rPr>
          <w:rFonts w:asciiTheme="minorHAnsi" w:hAnsiTheme="minorHAnsi" w:cstheme="minorHAnsi"/>
          <w:sz w:val="22"/>
          <w:szCs w:val="22"/>
        </w:rPr>
      </w:pPr>
      <w:r w:rsidRPr="00B573F2">
        <w:rPr>
          <w:rFonts w:asciiTheme="minorHAnsi" w:hAnsiTheme="minorHAnsi" w:cstheme="minorHAnsi"/>
          <w:sz w:val="22"/>
          <w:szCs w:val="22"/>
        </w:rPr>
        <w:t>Minute entry, April 8, 2021</w:t>
      </w:r>
    </w:p>
    <w:p w14:paraId="21701D3F" w14:textId="77777777" w:rsidR="00891AB6" w:rsidRPr="00B573F2" w:rsidRDefault="00DE687E" w:rsidP="00A4194D">
      <w:pPr>
        <w:pStyle w:val="NormalWeb"/>
        <w:ind w:left="720"/>
        <w:rPr>
          <w:rFonts w:asciiTheme="minorHAnsi" w:hAnsiTheme="minorHAnsi" w:cstheme="minorHAnsi"/>
          <w:sz w:val="22"/>
          <w:szCs w:val="22"/>
        </w:rPr>
      </w:pPr>
      <w:hyperlink r:id="rId17" w:tooltip="21839225-0--117298" w:history="1">
        <w:r w:rsidR="00891AB6" w:rsidRPr="00B573F2">
          <w:rPr>
            <w:rStyle w:val="Hyperlink"/>
            <w:rFonts w:asciiTheme="minorHAnsi" w:hAnsiTheme="minorHAnsi" w:cstheme="minorHAnsi"/>
            <w:sz w:val="22"/>
            <w:szCs w:val="22"/>
          </w:rPr>
          <w:t>21839225-0–117298</w:t>
        </w:r>
      </w:hyperlink>
    </w:p>
    <w:p w14:paraId="74AFA71A" w14:textId="6238DE1D" w:rsidR="00A4194D" w:rsidRDefault="00A4194D" w:rsidP="00A4194D">
      <w:pPr>
        <w:pStyle w:val="NormalWeb"/>
        <w:rPr>
          <w:rFonts w:asciiTheme="minorHAnsi" w:hAnsiTheme="minorHAnsi" w:cstheme="minorHAnsi"/>
          <w:sz w:val="22"/>
          <w:szCs w:val="22"/>
        </w:rPr>
      </w:pPr>
      <w:r w:rsidRPr="00B573F2">
        <w:rPr>
          <w:rFonts w:asciiTheme="minorHAnsi" w:hAnsiTheme="minorHAnsi" w:cstheme="minorHAnsi"/>
          <w:sz w:val="22"/>
          <w:szCs w:val="22"/>
        </w:rPr>
        <w:lastRenderedPageBreak/>
        <w:t>By June 12, Arizona and Montana’s motion for a preliminary injunction was still pending, as was a U.S. motion to dismiss.  The Puente Human Rights Movement case against the SAFE agreement was also pending</w:t>
      </w:r>
      <w:r w:rsidR="00371214">
        <w:rPr>
          <w:rFonts w:asciiTheme="minorHAnsi" w:hAnsiTheme="minorHAnsi" w:cstheme="minorHAnsi"/>
          <w:sz w:val="22"/>
          <w:szCs w:val="22"/>
        </w:rPr>
        <w:t>; the U.S. and Arizona filed motions to dismiss June 14.</w:t>
      </w:r>
    </w:p>
    <w:p w14:paraId="09E61AE2" w14:textId="77777777" w:rsidR="00371214" w:rsidRPr="00371214" w:rsidRDefault="00371214" w:rsidP="00371214">
      <w:pPr>
        <w:pStyle w:val="NormalWeb"/>
        <w:ind w:left="720"/>
        <w:rPr>
          <w:rFonts w:asciiTheme="minorHAnsi" w:hAnsiTheme="minorHAnsi" w:cstheme="minorHAnsi"/>
          <w:sz w:val="22"/>
          <w:szCs w:val="22"/>
        </w:rPr>
      </w:pPr>
      <w:r w:rsidRPr="00371214">
        <w:rPr>
          <w:rFonts w:asciiTheme="minorHAnsi" w:hAnsiTheme="minorHAnsi" w:cstheme="minorHAnsi"/>
          <w:sz w:val="22"/>
          <w:szCs w:val="22"/>
        </w:rPr>
        <w:t xml:space="preserve">US motion to dismiss, June 14, </w:t>
      </w:r>
      <w:proofErr w:type="gramStart"/>
      <w:r w:rsidRPr="00371214">
        <w:rPr>
          <w:rFonts w:asciiTheme="minorHAnsi" w:hAnsiTheme="minorHAnsi" w:cstheme="minorHAnsi"/>
          <w:sz w:val="22"/>
          <w:szCs w:val="22"/>
        </w:rPr>
        <w:t>2021</w:t>
      </w:r>
      <w:proofErr w:type="gramEnd"/>
    </w:p>
    <w:p w14:paraId="5BA20407" w14:textId="77777777" w:rsidR="00371214" w:rsidRPr="00371214" w:rsidRDefault="00371214" w:rsidP="00371214">
      <w:pPr>
        <w:pStyle w:val="NormalWeb"/>
        <w:ind w:left="720"/>
        <w:rPr>
          <w:rFonts w:asciiTheme="minorHAnsi" w:hAnsiTheme="minorHAnsi" w:cstheme="minorHAnsi"/>
          <w:sz w:val="22"/>
          <w:szCs w:val="22"/>
        </w:rPr>
      </w:pPr>
      <w:hyperlink r:id="rId18" w:history="1">
        <w:r w:rsidRPr="00371214">
          <w:rPr>
            <w:rStyle w:val="Hyperlink"/>
            <w:rFonts w:asciiTheme="minorHAnsi" w:hAnsiTheme="minorHAnsi" w:cstheme="minorHAnsi"/>
            <w:sz w:val="22"/>
            <w:szCs w:val="22"/>
          </w:rPr>
          <w:t>merged_19041_-1-1623795438</w:t>
        </w:r>
      </w:hyperlink>
    </w:p>
    <w:p w14:paraId="718155A9" w14:textId="77777777" w:rsidR="00371214" w:rsidRPr="00371214" w:rsidRDefault="00371214" w:rsidP="00371214">
      <w:pPr>
        <w:pStyle w:val="NormalWeb"/>
        <w:ind w:left="720"/>
        <w:rPr>
          <w:rFonts w:asciiTheme="minorHAnsi" w:hAnsiTheme="minorHAnsi" w:cstheme="minorHAnsi"/>
          <w:sz w:val="22"/>
          <w:szCs w:val="22"/>
        </w:rPr>
      </w:pPr>
      <w:r w:rsidRPr="00371214">
        <w:rPr>
          <w:rFonts w:asciiTheme="minorHAnsi" w:hAnsiTheme="minorHAnsi" w:cstheme="minorHAnsi"/>
          <w:sz w:val="22"/>
          <w:szCs w:val="22"/>
        </w:rPr>
        <w:t xml:space="preserve">Arizona motion to dismiss, June 14, </w:t>
      </w:r>
      <w:proofErr w:type="gramStart"/>
      <w:r w:rsidRPr="00371214">
        <w:rPr>
          <w:rFonts w:asciiTheme="minorHAnsi" w:hAnsiTheme="minorHAnsi" w:cstheme="minorHAnsi"/>
          <w:sz w:val="22"/>
          <w:szCs w:val="22"/>
        </w:rPr>
        <w:t>2021</w:t>
      </w:r>
      <w:proofErr w:type="gramEnd"/>
    </w:p>
    <w:p w14:paraId="09C01B6D" w14:textId="77777777" w:rsidR="00371214" w:rsidRDefault="00371214" w:rsidP="00371214">
      <w:pPr>
        <w:pStyle w:val="NormalWeb"/>
        <w:ind w:left="720"/>
      </w:pPr>
      <w:hyperlink r:id="rId19" w:history="1">
        <w:r w:rsidRPr="00371214">
          <w:rPr>
            <w:rStyle w:val="Hyperlink"/>
            <w:rFonts w:asciiTheme="minorHAnsi" w:hAnsiTheme="minorHAnsi" w:cstheme="minorHAnsi"/>
            <w:sz w:val="22"/>
            <w:szCs w:val="22"/>
          </w:rPr>
          <w:t>merged_82252_-1-1623795523</w:t>
        </w:r>
      </w:hyperlink>
    </w:p>
    <w:p w14:paraId="3667C701" w14:textId="03498E1A" w:rsidR="00ED73D8" w:rsidRPr="00B573F2" w:rsidRDefault="00ED73D8" w:rsidP="00A02732">
      <w:pPr>
        <w:pStyle w:val="NormalWeb"/>
        <w:rPr>
          <w:rFonts w:asciiTheme="minorHAnsi" w:hAnsiTheme="minorHAnsi" w:cstheme="minorHAnsi"/>
          <w:sz w:val="22"/>
          <w:szCs w:val="22"/>
        </w:rPr>
      </w:pPr>
      <w:r w:rsidRPr="00B573F2">
        <w:rPr>
          <w:rFonts w:asciiTheme="minorHAnsi" w:hAnsiTheme="minorHAnsi" w:cstheme="minorHAnsi"/>
          <w:b/>
          <w:bCs/>
          <w:sz w:val="22"/>
          <w:szCs w:val="22"/>
          <w:u w:val="single"/>
        </w:rPr>
        <w:t>Florida</w:t>
      </w:r>
      <w:r w:rsidRPr="00B573F2">
        <w:rPr>
          <w:rFonts w:asciiTheme="minorHAnsi" w:hAnsiTheme="minorHAnsi" w:cstheme="minorHAnsi"/>
          <w:sz w:val="22"/>
          <w:szCs w:val="22"/>
        </w:rPr>
        <w:t>, however, saw its motion for a preliminary injunction denied</w:t>
      </w:r>
      <w:r w:rsidR="00B573F2">
        <w:rPr>
          <w:rFonts w:asciiTheme="minorHAnsi" w:hAnsiTheme="minorHAnsi" w:cstheme="minorHAnsi"/>
          <w:sz w:val="22"/>
          <w:szCs w:val="22"/>
        </w:rPr>
        <w:t>, and has appealed.</w:t>
      </w:r>
    </w:p>
    <w:p w14:paraId="5F86426D" w14:textId="77777777" w:rsidR="00891AB6" w:rsidRPr="00B573F2" w:rsidRDefault="00891AB6" w:rsidP="00891AB6">
      <w:pPr>
        <w:pStyle w:val="NormalWeb"/>
        <w:rPr>
          <w:rFonts w:asciiTheme="minorHAnsi" w:hAnsiTheme="minorHAnsi" w:cstheme="minorHAnsi"/>
          <w:sz w:val="22"/>
          <w:szCs w:val="22"/>
        </w:rPr>
      </w:pPr>
      <w:r w:rsidRPr="00B573F2">
        <w:rPr>
          <w:rFonts w:asciiTheme="minorHAnsi" w:hAnsiTheme="minorHAnsi" w:cstheme="minorHAnsi"/>
          <w:sz w:val="22"/>
          <w:szCs w:val="22"/>
        </w:rPr>
        <w:t xml:space="preserve">Order denying preliminary injunction, May 18, </w:t>
      </w:r>
      <w:proofErr w:type="gramStart"/>
      <w:r w:rsidRPr="00B573F2">
        <w:rPr>
          <w:rFonts w:asciiTheme="minorHAnsi" w:hAnsiTheme="minorHAnsi" w:cstheme="minorHAnsi"/>
          <w:sz w:val="22"/>
          <w:szCs w:val="22"/>
        </w:rPr>
        <w:t>2021</w:t>
      </w:r>
      <w:proofErr w:type="gramEnd"/>
    </w:p>
    <w:p w14:paraId="3CAF2C22" w14:textId="38555461" w:rsidR="00891AB6" w:rsidRPr="00B573F2" w:rsidRDefault="00DE687E" w:rsidP="00891AB6">
      <w:pPr>
        <w:pStyle w:val="NormalWeb"/>
        <w:rPr>
          <w:rFonts w:asciiTheme="minorHAnsi" w:hAnsiTheme="minorHAnsi" w:cstheme="minorHAnsi"/>
          <w:sz w:val="22"/>
          <w:szCs w:val="22"/>
        </w:rPr>
      </w:pPr>
      <w:hyperlink r:id="rId20" w:tooltip="Order denying PI" w:history="1">
        <w:r w:rsidR="00891AB6" w:rsidRPr="00B573F2">
          <w:rPr>
            <w:rStyle w:val="Hyperlink"/>
            <w:rFonts w:asciiTheme="minorHAnsi" w:hAnsiTheme="minorHAnsi" w:cstheme="minorHAnsi"/>
            <w:sz w:val="22"/>
            <w:szCs w:val="22"/>
          </w:rPr>
          <w:t>Order denying PI</w:t>
        </w:r>
      </w:hyperlink>
    </w:p>
    <w:p w14:paraId="7B34F111" w14:textId="77777777" w:rsidR="00A4194D" w:rsidRPr="00A4194D" w:rsidRDefault="00A4194D" w:rsidP="00A4194D">
      <w:pPr>
        <w:autoSpaceDE w:val="0"/>
        <w:autoSpaceDN w:val="0"/>
        <w:adjustRightInd w:val="0"/>
        <w:spacing w:after="0" w:line="240" w:lineRule="auto"/>
        <w:ind w:left="720" w:right="720"/>
        <w:rPr>
          <w:rFonts w:cstheme="minorHAnsi"/>
          <w:color w:val="000000"/>
        </w:rPr>
      </w:pPr>
      <w:r w:rsidRPr="00A4194D">
        <w:rPr>
          <w:rFonts w:cstheme="minorHAnsi"/>
          <w:color w:val="000000"/>
        </w:rPr>
        <w:t xml:space="preserve">Having concluded that the agency action at issue here is not subject to judicial review, the Court need not address the merits of Florida’s APA claims. Accordingly, it is </w:t>
      </w:r>
      <w:proofErr w:type="gramStart"/>
      <w:r w:rsidRPr="00A4194D">
        <w:rPr>
          <w:rFonts w:cstheme="minorHAnsi"/>
          <w:color w:val="000000"/>
        </w:rPr>
        <w:t>hereby</w:t>
      </w:r>
      <w:proofErr w:type="gramEnd"/>
      <w:r w:rsidRPr="00A4194D">
        <w:rPr>
          <w:rFonts w:cstheme="minorHAnsi"/>
          <w:color w:val="000000"/>
        </w:rPr>
        <w:t xml:space="preserve"> </w:t>
      </w:r>
    </w:p>
    <w:p w14:paraId="39111D80" w14:textId="583B916D" w:rsidR="00A4194D" w:rsidRPr="00B573F2" w:rsidRDefault="00A4194D" w:rsidP="00A4194D">
      <w:pPr>
        <w:autoSpaceDE w:val="0"/>
        <w:autoSpaceDN w:val="0"/>
        <w:adjustRightInd w:val="0"/>
        <w:spacing w:after="0" w:line="240" w:lineRule="auto"/>
        <w:ind w:left="720" w:right="720"/>
        <w:rPr>
          <w:rFonts w:cstheme="minorHAnsi"/>
          <w:b/>
          <w:bCs/>
          <w:color w:val="000000"/>
        </w:rPr>
      </w:pPr>
      <w:r w:rsidRPr="00A4194D">
        <w:rPr>
          <w:rFonts w:cstheme="minorHAnsi"/>
          <w:b/>
          <w:bCs/>
          <w:color w:val="000000"/>
        </w:rPr>
        <w:t xml:space="preserve">ORDERED: </w:t>
      </w:r>
    </w:p>
    <w:p w14:paraId="0046F398" w14:textId="77777777" w:rsidR="00A4194D" w:rsidRPr="00A4194D" w:rsidRDefault="00A4194D" w:rsidP="00A4194D">
      <w:pPr>
        <w:autoSpaceDE w:val="0"/>
        <w:autoSpaceDN w:val="0"/>
        <w:adjustRightInd w:val="0"/>
        <w:spacing w:after="0" w:line="240" w:lineRule="auto"/>
        <w:ind w:left="720" w:right="720"/>
        <w:rPr>
          <w:rFonts w:cstheme="minorHAnsi"/>
          <w:color w:val="000000"/>
        </w:rPr>
      </w:pPr>
    </w:p>
    <w:p w14:paraId="60A588F2" w14:textId="77777777" w:rsidR="00A4194D" w:rsidRPr="00A4194D" w:rsidRDefault="00A4194D" w:rsidP="00A4194D">
      <w:pPr>
        <w:autoSpaceDE w:val="0"/>
        <w:autoSpaceDN w:val="0"/>
        <w:adjustRightInd w:val="0"/>
        <w:spacing w:after="347" w:line="240" w:lineRule="auto"/>
        <w:ind w:left="720" w:right="720"/>
        <w:rPr>
          <w:rFonts w:cstheme="minorHAnsi"/>
          <w:color w:val="000000"/>
        </w:rPr>
      </w:pPr>
      <w:r w:rsidRPr="00A4194D">
        <w:rPr>
          <w:rFonts w:cstheme="minorHAnsi"/>
          <w:color w:val="000000"/>
        </w:rPr>
        <w:t xml:space="preserve">1. Florida’s Unopposed Motion for Leave to Amend its Motion for Preliminary Injunction (Doc. 34) is </w:t>
      </w:r>
      <w:r w:rsidRPr="00A4194D">
        <w:rPr>
          <w:rFonts w:cstheme="minorHAnsi"/>
          <w:b/>
          <w:bCs/>
          <w:color w:val="000000"/>
        </w:rPr>
        <w:t>GRANTED</w:t>
      </w:r>
      <w:r w:rsidRPr="00A4194D">
        <w:rPr>
          <w:rFonts w:cstheme="minorHAnsi"/>
          <w:color w:val="000000"/>
        </w:rPr>
        <w:t xml:space="preserve">. </w:t>
      </w:r>
    </w:p>
    <w:p w14:paraId="498396C3" w14:textId="77777777" w:rsidR="00A4194D" w:rsidRPr="00A4194D" w:rsidRDefault="00A4194D" w:rsidP="00A4194D">
      <w:pPr>
        <w:autoSpaceDE w:val="0"/>
        <w:autoSpaceDN w:val="0"/>
        <w:adjustRightInd w:val="0"/>
        <w:spacing w:after="0" w:line="240" w:lineRule="auto"/>
        <w:ind w:left="720" w:right="720"/>
        <w:rPr>
          <w:rFonts w:cstheme="minorHAnsi"/>
          <w:color w:val="000000"/>
        </w:rPr>
      </w:pPr>
      <w:r w:rsidRPr="00A4194D">
        <w:rPr>
          <w:rFonts w:cstheme="minorHAnsi"/>
          <w:color w:val="000000"/>
        </w:rPr>
        <w:t xml:space="preserve">2. Florida’s Motion for a Preliminary Injunction (Doc. 4) is </w:t>
      </w:r>
      <w:r w:rsidRPr="00A4194D">
        <w:rPr>
          <w:rFonts w:cstheme="minorHAnsi"/>
          <w:b/>
          <w:bCs/>
          <w:color w:val="000000"/>
        </w:rPr>
        <w:t>DENIED</w:t>
      </w:r>
      <w:r w:rsidRPr="00A4194D">
        <w:rPr>
          <w:rFonts w:cstheme="minorHAnsi"/>
          <w:color w:val="000000"/>
        </w:rPr>
        <w:t xml:space="preserve">. </w:t>
      </w:r>
    </w:p>
    <w:p w14:paraId="3C92D5EB" w14:textId="256C157F" w:rsidR="00891AB6" w:rsidRPr="00B573F2" w:rsidRDefault="00B573F2" w:rsidP="00891AB6">
      <w:pPr>
        <w:pStyle w:val="NormalWeb"/>
        <w:rPr>
          <w:rFonts w:asciiTheme="minorHAnsi" w:hAnsiTheme="minorHAnsi" w:cstheme="minorHAnsi"/>
          <w:sz w:val="22"/>
          <w:szCs w:val="22"/>
        </w:rPr>
      </w:pPr>
      <w:r w:rsidRPr="00B573F2">
        <w:rPr>
          <w:rFonts w:asciiTheme="minorHAnsi" w:hAnsiTheme="minorHAnsi" w:cstheme="minorHAnsi"/>
          <w:sz w:val="22"/>
          <w:szCs w:val="22"/>
        </w:rPr>
        <w:t>Florida’s appeal, No. 21-11715 (11</w:t>
      </w:r>
      <w:r w:rsidRPr="00B573F2">
        <w:rPr>
          <w:rFonts w:asciiTheme="minorHAnsi" w:hAnsiTheme="minorHAnsi" w:cstheme="minorHAnsi"/>
          <w:sz w:val="22"/>
          <w:szCs w:val="22"/>
          <w:vertAlign w:val="superscript"/>
        </w:rPr>
        <w:t>th</w:t>
      </w:r>
      <w:r w:rsidRPr="00B573F2">
        <w:rPr>
          <w:rFonts w:asciiTheme="minorHAnsi" w:hAnsiTheme="minorHAnsi" w:cstheme="minorHAnsi"/>
          <w:sz w:val="22"/>
          <w:szCs w:val="22"/>
        </w:rPr>
        <w:t xml:space="preserve"> Cir.), has been expedited, with the State’s opening brief due 10 days after the June 3 expediting order, that is, probably Monday, June 14.</w:t>
      </w:r>
    </w:p>
    <w:p w14:paraId="320EDD3F" w14:textId="273CFAB5" w:rsidR="00DC1B46" w:rsidRPr="00B573F2" w:rsidRDefault="00DC1B46">
      <w:pPr>
        <w:rPr>
          <w:rFonts w:cstheme="minorHAnsi"/>
        </w:rPr>
      </w:pPr>
    </w:p>
    <w:p w14:paraId="696AA9DF" w14:textId="77777777" w:rsidR="00891AB6" w:rsidRPr="00B573F2" w:rsidRDefault="00891AB6">
      <w:pPr>
        <w:rPr>
          <w:rFonts w:cstheme="minorHAnsi"/>
        </w:rPr>
      </w:pPr>
    </w:p>
    <w:sectPr w:rsidR="00891AB6" w:rsidRPr="00B57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B46"/>
    <w:rsid w:val="002504FE"/>
    <w:rsid w:val="00371214"/>
    <w:rsid w:val="006149AE"/>
    <w:rsid w:val="00891AB6"/>
    <w:rsid w:val="00A02732"/>
    <w:rsid w:val="00A4194D"/>
    <w:rsid w:val="00B573F2"/>
    <w:rsid w:val="00D2254D"/>
    <w:rsid w:val="00DC1B46"/>
    <w:rsid w:val="00DE687E"/>
    <w:rsid w:val="00ED73D8"/>
    <w:rsid w:val="00F12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BAD16"/>
  <w15:chartTrackingRefBased/>
  <w15:docId w15:val="{F55BC5CA-51BE-42FC-A539-1FFC7C346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1B46"/>
    <w:rPr>
      <w:color w:val="0000FF"/>
      <w:u w:val="single"/>
    </w:rPr>
  </w:style>
  <w:style w:type="character" w:styleId="FollowedHyperlink">
    <w:name w:val="FollowedHyperlink"/>
    <w:basedOn w:val="DefaultParagraphFont"/>
    <w:uiPriority w:val="99"/>
    <w:semiHidden/>
    <w:unhideWhenUsed/>
    <w:rsid w:val="00DC1B46"/>
    <w:rPr>
      <w:color w:val="954F72" w:themeColor="followedHyperlink"/>
      <w:u w:val="single"/>
    </w:rPr>
  </w:style>
  <w:style w:type="character" w:styleId="UnresolvedMention">
    <w:name w:val="Unresolved Mention"/>
    <w:basedOn w:val="DefaultParagraphFont"/>
    <w:uiPriority w:val="99"/>
    <w:semiHidden/>
    <w:unhideWhenUsed/>
    <w:rsid w:val="00F1221A"/>
    <w:rPr>
      <w:color w:val="605E5C"/>
      <w:shd w:val="clear" w:color="auto" w:fill="E1DFDD"/>
    </w:rPr>
  </w:style>
  <w:style w:type="paragraph" w:styleId="NormalWeb">
    <w:name w:val="Normal (Web)"/>
    <w:basedOn w:val="Normal"/>
    <w:uiPriority w:val="99"/>
    <w:semiHidden/>
    <w:unhideWhenUsed/>
    <w:rsid w:val="00A0273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02732"/>
    <w:rPr>
      <w:i/>
      <w:iCs/>
    </w:rPr>
  </w:style>
  <w:style w:type="paragraph" w:customStyle="1" w:styleId="Default">
    <w:name w:val="Default"/>
    <w:rsid w:val="00891AB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15148">
      <w:bodyDiv w:val="1"/>
      <w:marLeft w:val="0"/>
      <w:marRight w:val="0"/>
      <w:marTop w:val="0"/>
      <w:marBottom w:val="0"/>
      <w:divBdr>
        <w:top w:val="none" w:sz="0" w:space="0" w:color="auto"/>
        <w:left w:val="none" w:sz="0" w:space="0" w:color="auto"/>
        <w:bottom w:val="none" w:sz="0" w:space="0" w:color="auto"/>
        <w:right w:val="none" w:sz="0" w:space="0" w:color="auto"/>
      </w:divBdr>
    </w:div>
    <w:div w:id="138425422">
      <w:bodyDiv w:val="1"/>
      <w:marLeft w:val="0"/>
      <w:marRight w:val="0"/>
      <w:marTop w:val="0"/>
      <w:marBottom w:val="0"/>
      <w:divBdr>
        <w:top w:val="none" w:sz="0" w:space="0" w:color="auto"/>
        <w:left w:val="none" w:sz="0" w:space="0" w:color="auto"/>
        <w:bottom w:val="none" w:sz="0" w:space="0" w:color="auto"/>
        <w:right w:val="none" w:sz="0" w:space="0" w:color="auto"/>
      </w:divBdr>
    </w:div>
    <w:div w:id="323170462">
      <w:bodyDiv w:val="1"/>
      <w:marLeft w:val="0"/>
      <w:marRight w:val="0"/>
      <w:marTop w:val="0"/>
      <w:marBottom w:val="0"/>
      <w:divBdr>
        <w:top w:val="none" w:sz="0" w:space="0" w:color="auto"/>
        <w:left w:val="none" w:sz="0" w:space="0" w:color="auto"/>
        <w:bottom w:val="none" w:sz="0" w:space="0" w:color="auto"/>
        <w:right w:val="none" w:sz="0" w:space="0" w:color="auto"/>
      </w:divBdr>
    </w:div>
    <w:div w:id="739643191">
      <w:bodyDiv w:val="1"/>
      <w:marLeft w:val="0"/>
      <w:marRight w:val="0"/>
      <w:marTop w:val="0"/>
      <w:marBottom w:val="0"/>
      <w:divBdr>
        <w:top w:val="none" w:sz="0" w:space="0" w:color="auto"/>
        <w:left w:val="none" w:sz="0" w:space="0" w:color="auto"/>
        <w:bottom w:val="none" w:sz="0" w:space="0" w:color="auto"/>
        <w:right w:val="none" w:sz="0" w:space="0" w:color="auto"/>
      </w:divBdr>
    </w:div>
    <w:div w:id="1631669440">
      <w:bodyDiv w:val="1"/>
      <w:marLeft w:val="0"/>
      <w:marRight w:val="0"/>
      <w:marTop w:val="0"/>
      <w:marBottom w:val="0"/>
      <w:divBdr>
        <w:top w:val="none" w:sz="0" w:space="0" w:color="auto"/>
        <w:left w:val="none" w:sz="0" w:space="0" w:color="auto"/>
        <w:bottom w:val="none" w:sz="0" w:space="0" w:color="auto"/>
        <w:right w:val="none" w:sz="0" w:space="0" w:color="auto"/>
      </w:divBdr>
    </w:div>
    <w:div w:id="1959025895">
      <w:bodyDiv w:val="1"/>
      <w:marLeft w:val="0"/>
      <w:marRight w:val="0"/>
      <w:marTop w:val="0"/>
      <w:marBottom w:val="0"/>
      <w:divBdr>
        <w:top w:val="none" w:sz="0" w:space="0" w:color="auto"/>
        <w:left w:val="none" w:sz="0" w:space="0" w:color="auto"/>
        <w:bottom w:val="none" w:sz="0" w:space="0" w:color="auto"/>
        <w:right w:val="none" w:sz="0" w:space="0" w:color="auto"/>
      </w:divBdr>
    </w:div>
    <w:div w:id="213374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ffordablecareactlitigation.files.wordpress.com/2021/02/preliminary-injunction-2-23-21.pdf" TargetMode="External"/><Relationship Id="rId13" Type="http://schemas.openxmlformats.org/officeDocument/2006/relationships/hyperlink" Target="https://affordablecareactlitigation.files.wordpress.com/2021/06/tl-advocates-for-victims-of-illegal-alien-crime-amicus.pdf" TargetMode="External"/><Relationship Id="rId18" Type="http://schemas.openxmlformats.org/officeDocument/2006/relationships/hyperlink" Target="https://affordablecareactlitigation.files.wordpress.com/2021/06/merged_19041_-1-1623795438.pdf"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beta.documentcloud.org/documents/20466676-az-dhs-agreement" TargetMode="External"/><Relationship Id="rId12" Type="http://schemas.openxmlformats.org/officeDocument/2006/relationships/hyperlink" Target="https://affordablecareactlitigation.files.wordpress.com/2021/06/tl-pi-mo.pdf" TargetMode="External"/><Relationship Id="rId17" Type="http://schemas.openxmlformats.org/officeDocument/2006/relationships/hyperlink" Target="https://affordablecareactlitigation.files.wordpress.com/2021/05/21839225-0-117298.pdf" TargetMode="External"/><Relationship Id="rId2" Type="http://schemas.openxmlformats.org/officeDocument/2006/relationships/settings" Target="settings.xml"/><Relationship Id="rId16" Type="http://schemas.openxmlformats.org/officeDocument/2006/relationships/hyperlink" Target="https://affordablecareactlitigation.files.wordpress.com/2021/06/tl-pltf-pi-reply.pdf" TargetMode="External"/><Relationship Id="rId20" Type="http://schemas.openxmlformats.org/officeDocument/2006/relationships/hyperlink" Target="https://affordablecareactlitigation.files.wordpress.com/2021/05/order-denying-pi.pdf" TargetMode="External"/><Relationship Id="rId1" Type="http://schemas.openxmlformats.org/officeDocument/2006/relationships/styles" Target="styles.xml"/><Relationship Id="rId6" Type="http://schemas.openxmlformats.org/officeDocument/2006/relationships/hyperlink" Target="https://www.pewtrusts.org/en/research-and-analysis/blogs/stateline/2021/02/12/biden-seeks-to-squelch-trump-immigration-deals-with-states" TargetMode="External"/><Relationship Id="rId11" Type="http://schemas.openxmlformats.org/officeDocument/2006/relationships/hyperlink" Target="https://affordablecareactlitigation.files.wordpress.com/2021/06/texas-louisiana-complaint-4-6-21.pdf" TargetMode="External"/><Relationship Id="rId5" Type="http://schemas.openxmlformats.org/officeDocument/2006/relationships/hyperlink" Target="https://affordablecareactlitigation.files.wordpress.com/2021/06/az-dhs-agreement.pdf" TargetMode="External"/><Relationship Id="rId15" Type="http://schemas.openxmlformats.org/officeDocument/2006/relationships/hyperlink" Target="https://affordablecareactlitigation.files.wordpress.com/2021/06/tl-us-pi-op.pdf" TargetMode="External"/><Relationship Id="rId10" Type="http://schemas.openxmlformats.org/officeDocument/2006/relationships/hyperlink" Target="https://www.dhs.gov/news/2021/05/06/dhs-statement-expiration-100-day-removal-pause" TargetMode="External"/><Relationship Id="rId19" Type="http://schemas.openxmlformats.org/officeDocument/2006/relationships/hyperlink" Target="https://affordablecareactlitigation.files.wordpress.com/2021/06/merged_82252_-1-1623795523.pdf" TargetMode="External"/><Relationship Id="rId4" Type="http://schemas.openxmlformats.org/officeDocument/2006/relationships/hyperlink" Target="https://affordablecareactlitigation.files.wordpress.com/2021/01/us-texas-agreement-12-31-20-1-8-21.pdf" TargetMode="External"/><Relationship Id="rId9" Type="http://schemas.openxmlformats.org/officeDocument/2006/relationships/hyperlink" Target="https://affordablecareactlitigation.files.wordpress.com/2021/05/tx-stip-dismissal.pdf" TargetMode="External"/><Relationship Id="rId14" Type="http://schemas.openxmlformats.org/officeDocument/2006/relationships/hyperlink" Target="https://affordablecareactlitigation.files.wordpress.com/2021/06/tl-pltf-supp-dec-clark.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1006</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dcterms:created xsi:type="dcterms:W3CDTF">2021-06-15T22:53:00Z</dcterms:created>
  <dcterms:modified xsi:type="dcterms:W3CDTF">2021-06-15T22:53:00Z</dcterms:modified>
</cp:coreProperties>
</file>