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98F55" w14:textId="3BA4E2D6" w:rsidR="00AF665C" w:rsidRDefault="00AF665C">
      <w:r>
        <w:t>Fifth Circuit nondelegation decisions</w:t>
      </w:r>
    </w:p>
    <w:p w14:paraId="3F9EEFED" w14:textId="1A350AF6" w:rsidR="00AF665C" w:rsidRDefault="00AF665C">
      <w:proofErr w:type="spellStart"/>
      <w:r>
        <w:t>Brackeen</w:t>
      </w:r>
      <w:proofErr w:type="spellEnd"/>
      <w:r>
        <w:t xml:space="preserve"> v. </w:t>
      </w:r>
      <w:proofErr w:type="spellStart"/>
      <w:r>
        <w:t>Haaland</w:t>
      </w:r>
      <w:proofErr w:type="spellEnd"/>
      <w:r>
        <w:t>, 994 F.3d 249, 420-21 (5</w:t>
      </w:r>
      <w:r w:rsidRPr="00AF665C">
        <w:rPr>
          <w:vertAlign w:val="superscript"/>
        </w:rPr>
        <w:t>th</w:t>
      </w:r>
      <w:r>
        <w:t xml:space="preserve"> Cir. 2021) (</w:t>
      </w:r>
      <w:proofErr w:type="spellStart"/>
      <w:r>
        <w:t>en</w:t>
      </w:r>
      <w:proofErr w:type="spellEnd"/>
      <w:r>
        <w:t xml:space="preserve"> banc), opinion of Duncan, J.:</w:t>
      </w:r>
    </w:p>
    <w:p w14:paraId="31D602CE" w14:textId="77777777" w:rsidR="00AF665C" w:rsidRPr="00AF665C" w:rsidRDefault="00AF665C" w:rsidP="00AF665C">
      <w:pPr>
        <w:spacing w:after="0" w:line="240" w:lineRule="auto"/>
        <w:rPr>
          <w:rFonts w:ascii="Times New Roman" w:eastAsia="Times New Roman" w:hAnsi="Times New Roman" w:cs="Times New Roman"/>
          <w:sz w:val="24"/>
          <w:szCs w:val="24"/>
        </w:rPr>
      </w:pPr>
      <w:r w:rsidRPr="00AF665C">
        <w:rPr>
          <w:rFonts w:ascii="Times New Roman" w:eastAsia="Times New Roman" w:hAnsi="Times New Roman" w:cs="Times New Roman"/>
          <w:sz w:val="24"/>
          <w:szCs w:val="24"/>
        </w:rPr>
        <w:t xml:space="preserve">“The nondelegation doctrine is rooted in the principle of separation of powers that underlies our tripartite system of Government.” </w:t>
      </w:r>
      <w:hyperlink r:id="rId4" w:anchor="co_pp_sp_780_371" w:history="1">
        <w:proofErr w:type="spellStart"/>
        <w:r w:rsidRPr="00AF665C">
          <w:rPr>
            <w:rFonts w:ascii="Times New Roman" w:eastAsia="Times New Roman" w:hAnsi="Times New Roman" w:cs="Times New Roman"/>
            <w:i/>
            <w:iCs/>
            <w:color w:val="0000FF"/>
            <w:sz w:val="24"/>
            <w:szCs w:val="24"/>
            <w:u w:val="single"/>
          </w:rPr>
          <w:t>Mistretta</w:t>
        </w:r>
        <w:proofErr w:type="spellEnd"/>
        <w:r w:rsidRPr="00AF665C">
          <w:rPr>
            <w:rFonts w:ascii="Times New Roman" w:eastAsia="Times New Roman" w:hAnsi="Times New Roman" w:cs="Times New Roman"/>
            <w:i/>
            <w:iCs/>
            <w:color w:val="0000FF"/>
            <w:sz w:val="24"/>
            <w:szCs w:val="24"/>
            <w:u w:val="single"/>
          </w:rPr>
          <w:t xml:space="preserve"> v. United States</w:t>
        </w:r>
        <w:r w:rsidRPr="00AF665C">
          <w:rPr>
            <w:rFonts w:ascii="Times New Roman" w:eastAsia="Times New Roman" w:hAnsi="Times New Roman" w:cs="Times New Roman"/>
            <w:color w:val="0000FF"/>
            <w:sz w:val="24"/>
            <w:szCs w:val="24"/>
            <w:u w:val="single"/>
          </w:rPr>
          <w:t xml:space="preserve">, 488 U.S. 361, 371, 109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647, 102 L.Ed.2d 714 (1989)</w:t>
        </w:r>
      </w:hyperlink>
      <w:r w:rsidRPr="00AF665C">
        <w:rPr>
          <w:rFonts w:ascii="Times New Roman" w:eastAsia="Times New Roman" w:hAnsi="Times New Roman" w:cs="Times New Roman"/>
          <w:sz w:val="24"/>
          <w:szCs w:val="24"/>
        </w:rPr>
        <w:t xml:space="preserve">. Typically, a nondelegation claim challenges Congress's “transferring its legislative power to another branch of Government.” </w:t>
      </w:r>
      <w:hyperlink r:id="rId5" w:anchor="co_pp_sp_708_2121" w:history="1">
        <w:r w:rsidRPr="00AF665C">
          <w:rPr>
            <w:rFonts w:ascii="Times New Roman" w:eastAsia="Times New Roman" w:hAnsi="Times New Roman" w:cs="Times New Roman"/>
            <w:i/>
            <w:iCs/>
            <w:color w:val="0000FF"/>
            <w:sz w:val="24"/>
            <w:szCs w:val="24"/>
            <w:u w:val="single"/>
          </w:rPr>
          <w:t>Gundy v. United States</w:t>
        </w:r>
        <w:r w:rsidRPr="00AF665C">
          <w:rPr>
            <w:rFonts w:ascii="Times New Roman" w:eastAsia="Times New Roman" w:hAnsi="Times New Roman" w:cs="Times New Roman"/>
            <w:color w:val="0000FF"/>
            <w:sz w:val="24"/>
            <w:szCs w:val="24"/>
            <w:u w:val="single"/>
          </w:rPr>
          <w:t>, ––– U.S. ––––, 139 S. Ct. 2116, 2121, 204 L.Ed.2d 522 (2019)</w:t>
        </w:r>
      </w:hyperlink>
      <w:r w:rsidRPr="00AF665C">
        <w:rPr>
          <w:rFonts w:ascii="Times New Roman" w:eastAsia="Times New Roman" w:hAnsi="Times New Roman" w:cs="Times New Roman"/>
          <w:sz w:val="24"/>
          <w:szCs w:val="24"/>
        </w:rPr>
        <w:t xml:space="preserve"> (plurality op.); </w:t>
      </w:r>
      <w:r w:rsidRPr="00AF665C">
        <w:rPr>
          <w:rFonts w:ascii="Times New Roman" w:eastAsia="Times New Roman" w:hAnsi="Times New Roman" w:cs="Times New Roman"/>
          <w:i/>
          <w:iCs/>
          <w:sz w:val="24"/>
          <w:szCs w:val="24"/>
        </w:rPr>
        <w:t>see also, e.g.</w:t>
      </w:r>
      <w:r w:rsidRPr="00AF665C">
        <w:rPr>
          <w:rFonts w:ascii="Times New Roman" w:eastAsia="Times New Roman" w:hAnsi="Times New Roman" w:cs="Times New Roman"/>
          <w:sz w:val="24"/>
          <w:szCs w:val="24"/>
        </w:rPr>
        <w:t xml:space="preserve">, </w:t>
      </w:r>
      <w:hyperlink r:id="rId6" w:anchor="co_pp_sp_780_472" w:history="1">
        <w:r w:rsidRPr="00AF665C">
          <w:rPr>
            <w:rFonts w:ascii="Times New Roman" w:eastAsia="Times New Roman" w:hAnsi="Times New Roman" w:cs="Times New Roman"/>
            <w:i/>
            <w:iCs/>
            <w:color w:val="0000FF"/>
            <w:sz w:val="24"/>
            <w:szCs w:val="24"/>
            <w:u w:val="single"/>
          </w:rPr>
          <w:t xml:space="preserve">Whitman v. Am. Trucking </w:t>
        </w:r>
        <w:proofErr w:type="spellStart"/>
        <w:r w:rsidRPr="00AF665C">
          <w:rPr>
            <w:rFonts w:ascii="Times New Roman" w:eastAsia="Times New Roman" w:hAnsi="Times New Roman" w:cs="Times New Roman"/>
            <w:i/>
            <w:iCs/>
            <w:color w:val="0000FF"/>
            <w:sz w:val="24"/>
            <w:szCs w:val="24"/>
            <w:u w:val="single"/>
          </w:rPr>
          <w:t>Ass'ns</w:t>
        </w:r>
        <w:proofErr w:type="spellEnd"/>
        <w:r w:rsidRPr="00AF665C">
          <w:rPr>
            <w:rFonts w:ascii="Times New Roman" w:eastAsia="Times New Roman" w:hAnsi="Times New Roman" w:cs="Times New Roman"/>
            <w:color w:val="0000FF"/>
            <w:sz w:val="24"/>
            <w:szCs w:val="24"/>
            <w:u w:val="single"/>
          </w:rPr>
          <w:t xml:space="preserve">, 531 U.S. 457, 472, 121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903, 149 L.Ed.2d 1 (2001)</w:t>
        </w:r>
      </w:hyperlink>
      <w:r w:rsidRPr="00AF665C">
        <w:rPr>
          <w:rFonts w:ascii="Times New Roman" w:eastAsia="Times New Roman" w:hAnsi="Times New Roman" w:cs="Times New Roman"/>
          <w:sz w:val="24"/>
          <w:szCs w:val="24"/>
        </w:rPr>
        <w:t xml:space="preserve"> (a delegation challenge asks “whether the statute has delegated legislative power to [an] agency”). Such challenges are usually unsuccessful because the Supreme Court requires Congress to provide only an “intelligible principle” guiding execution of the delegated authority. </w:t>
      </w:r>
      <w:r w:rsidRPr="00AF665C">
        <w:rPr>
          <w:rFonts w:ascii="Times New Roman" w:eastAsia="Times New Roman" w:hAnsi="Times New Roman" w:cs="Times New Roman"/>
          <w:i/>
          <w:iCs/>
          <w:sz w:val="24"/>
          <w:szCs w:val="24"/>
        </w:rPr>
        <w:t xml:space="preserve">See </w:t>
      </w:r>
      <w:hyperlink r:id="rId7" w:anchor="co_pp_sp_780_165" w:history="1">
        <w:proofErr w:type="spellStart"/>
        <w:r w:rsidRPr="00AF665C">
          <w:rPr>
            <w:rFonts w:ascii="Times New Roman" w:eastAsia="Times New Roman" w:hAnsi="Times New Roman" w:cs="Times New Roman"/>
            <w:i/>
            <w:iCs/>
            <w:color w:val="0000FF"/>
            <w:sz w:val="24"/>
            <w:szCs w:val="24"/>
            <w:u w:val="single"/>
          </w:rPr>
          <w:t>Touby</w:t>
        </w:r>
        <w:proofErr w:type="spellEnd"/>
        <w:r w:rsidRPr="00AF665C">
          <w:rPr>
            <w:rFonts w:ascii="Times New Roman" w:eastAsia="Times New Roman" w:hAnsi="Times New Roman" w:cs="Times New Roman"/>
            <w:i/>
            <w:iCs/>
            <w:color w:val="0000FF"/>
            <w:sz w:val="24"/>
            <w:szCs w:val="24"/>
            <w:u w:val="single"/>
          </w:rPr>
          <w:t xml:space="preserve"> v. United States</w:t>
        </w:r>
        <w:r w:rsidRPr="00AF665C">
          <w:rPr>
            <w:rFonts w:ascii="Times New Roman" w:eastAsia="Times New Roman" w:hAnsi="Times New Roman" w:cs="Times New Roman"/>
            <w:color w:val="0000FF"/>
            <w:sz w:val="24"/>
            <w:szCs w:val="24"/>
            <w:u w:val="single"/>
          </w:rPr>
          <w:t xml:space="preserve">, 500 U.S. 160, 165, 111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1752, 114 L.Ed.2d 219 (1991)</w:t>
        </w:r>
      </w:hyperlink>
      <w:r w:rsidRPr="00AF665C">
        <w:rPr>
          <w:rFonts w:ascii="Times New Roman" w:eastAsia="Times New Roman" w:hAnsi="Times New Roman" w:cs="Times New Roman"/>
          <w:sz w:val="24"/>
          <w:szCs w:val="24"/>
        </w:rPr>
        <w:t xml:space="preserve">; </w:t>
      </w:r>
      <w:r w:rsidRPr="00AF665C">
        <w:rPr>
          <w:rFonts w:ascii="Times New Roman" w:eastAsia="Times New Roman" w:hAnsi="Times New Roman" w:cs="Times New Roman"/>
          <w:i/>
          <w:iCs/>
          <w:sz w:val="24"/>
          <w:szCs w:val="24"/>
        </w:rPr>
        <w:t>see also, e.g.</w:t>
      </w:r>
      <w:r w:rsidRPr="00AF665C">
        <w:rPr>
          <w:rFonts w:ascii="Times New Roman" w:eastAsia="Times New Roman" w:hAnsi="Times New Roman" w:cs="Times New Roman"/>
          <w:sz w:val="24"/>
          <w:szCs w:val="24"/>
        </w:rPr>
        <w:t xml:space="preserve">, </w:t>
      </w:r>
      <w:hyperlink r:id="rId8" w:anchor="co_pp_sp_506_263" w:history="1">
        <w:r w:rsidRPr="00AF665C">
          <w:rPr>
            <w:rFonts w:ascii="Times New Roman" w:eastAsia="Times New Roman" w:hAnsi="Times New Roman" w:cs="Times New Roman"/>
            <w:i/>
            <w:iCs/>
            <w:color w:val="0000FF"/>
            <w:sz w:val="24"/>
            <w:szCs w:val="24"/>
            <w:u w:val="single"/>
          </w:rPr>
          <w:t>United States v. Whaley</w:t>
        </w:r>
        <w:r w:rsidRPr="00AF665C">
          <w:rPr>
            <w:rFonts w:ascii="Times New Roman" w:eastAsia="Times New Roman" w:hAnsi="Times New Roman" w:cs="Times New Roman"/>
            <w:color w:val="0000FF"/>
            <w:sz w:val="24"/>
            <w:szCs w:val="24"/>
            <w:u w:val="single"/>
          </w:rPr>
          <w:t>, 577 F.3d 254, 263 (5th Cir. 2009)</w:t>
        </w:r>
      </w:hyperlink>
      <w:r w:rsidRPr="00AF665C">
        <w:rPr>
          <w:rFonts w:ascii="Times New Roman" w:eastAsia="Times New Roman" w:hAnsi="Times New Roman" w:cs="Times New Roman"/>
          <w:sz w:val="24"/>
          <w:szCs w:val="24"/>
        </w:rPr>
        <w:t xml:space="preserve"> (the “modern [nondelegation] test is whether Congress has provided an ‘intelligible principle’ to guide the agency's regulations,” which “can be broad”) (citations omitted). But </w:t>
      </w:r>
      <w:hyperlink r:id="rId9" w:anchor="co_pp_4b24000003ba5" w:history="1">
        <w:r w:rsidRPr="00AF665C">
          <w:rPr>
            <w:rFonts w:ascii="Times New Roman" w:eastAsia="Times New Roman" w:hAnsi="Times New Roman" w:cs="Times New Roman"/>
            <w:color w:val="0000FF"/>
            <w:sz w:val="24"/>
            <w:szCs w:val="24"/>
            <w:u w:val="single"/>
          </w:rPr>
          <w:t>§ 1915(c)</w:t>
        </w:r>
      </w:hyperlink>
      <w:r w:rsidRPr="00AF665C">
        <w:rPr>
          <w:rFonts w:ascii="Times New Roman" w:eastAsia="Times New Roman" w:hAnsi="Times New Roman" w:cs="Times New Roman"/>
          <w:sz w:val="24"/>
          <w:szCs w:val="24"/>
        </w:rPr>
        <w:t>, as the district court correctly recognized, presents an atypical nondelegation issue for two main reasons: the statute delegates lawmaking—not merely regulatory—authority, and it does so to an entity outside the federal government.</w:t>
      </w:r>
    </w:p>
    <w:p w14:paraId="7A365BF8" w14:textId="77777777" w:rsidR="00AF665C" w:rsidRPr="00AF665C" w:rsidRDefault="00AF665C" w:rsidP="00AF665C">
      <w:pPr>
        <w:spacing w:after="0" w:line="240" w:lineRule="auto"/>
        <w:rPr>
          <w:rFonts w:ascii="Times New Roman" w:eastAsia="Times New Roman" w:hAnsi="Times New Roman" w:cs="Times New Roman"/>
          <w:sz w:val="24"/>
          <w:szCs w:val="24"/>
        </w:rPr>
      </w:pPr>
      <w:r w:rsidRPr="00AF665C">
        <w:rPr>
          <w:rFonts w:ascii="Times New Roman" w:eastAsia="Times New Roman" w:hAnsi="Times New Roman" w:cs="Times New Roman"/>
          <w:sz w:val="24"/>
          <w:szCs w:val="24"/>
        </w:rPr>
        <w:t xml:space="preserve">“The fundamental precept of the delegation doctrine is that the lawmaking function belongs to </w:t>
      </w:r>
      <w:proofErr w:type="gramStart"/>
      <w:r w:rsidRPr="00AF665C">
        <w:rPr>
          <w:rFonts w:ascii="Times New Roman" w:eastAsia="Times New Roman" w:hAnsi="Times New Roman" w:cs="Times New Roman"/>
          <w:sz w:val="24"/>
          <w:szCs w:val="24"/>
        </w:rPr>
        <w:t>Congress, and</w:t>
      </w:r>
      <w:proofErr w:type="gramEnd"/>
      <w:r w:rsidRPr="00AF665C">
        <w:rPr>
          <w:rFonts w:ascii="Times New Roman" w:eastAsia="Times New Roman" w:hAnsi="Times New Roman" w:cs="Times New Roman"/>
          <w:sz w:val="24"/>
          <w:szCs w:val="24"/>
        </w:rPr>
        <w:t xml:space="preserve"> may not be conveyed to another branch or entity.” </w:t>
      </w:r>
      <w:hyperlink r:id="rId10" w:anchor="co_pp_sp_780_758" w:history="1">
        <w:r w:rsidRPr="00AF665C">
          <w:rPr>
            <w:rFonts w:ascii="Times New Roman" w:eastAsia="Times New Roman" w:hAnsi="Times New Roman" w:cs="Times New Roman"/>
            <w:i/>
            <w:iCs/>
            <w:color w:val="0000FF"/>
            <w:sz w:val="24"/>
            <w:szCs w:val="24"/>
            <w:u w:val="single"/>
          </w:rPr>
          <w:t>Loving v. United States</w:t>
        </w:r>
        <w:r w:rsidRPr="00AF665C">
          <w:rPr>
            <w:rFonts w:ascii="Times New Roman" w:eastAsia="Times New Roman" w:hAnsi="Times New Roman" w:cs="Times New Roman"/>
            <w:color w:val="0000FF"/>
            <w:sz w:val="24"/>
            <w:szCs w:val="24"/>
            <w:u w:val="single"/>
          </w:rPr>
          <w:t xml:space="preserve">, 517 U.S. 748, 758, 116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1737, 135 L.Ed.2d 36 (1996)</w:t>
        </w:r>
      </w:hyperlink>
      <w:r w:rsidRPr="00AF665C">
        <w:rPr>
          <w:rFonts w:ascii="Times New Roman" w:eastAsia="Times New Roman" w:hAnsi="Times New Roman" w:cs="Times New Roman"/>
          <w:sz w:val="24"/>
          <w:szCs w:val="24"/>
        </w:rPr>
        <w:t xml:space="preserve"> (citing </w:t>
      </w:r>
      <w:hyperlink r:id="rId11" w:history="1">
        <w:r w:rsidRPr="00AF665C">
          <w:rPr>
            <w:rFonts w:ascii="Times New Roman" w:eastAsia="Times New Roman" w:hAnsi="Times New Roman" w:cs="Times New Roman"/>
            <w:color w:val="0000FF"/>
            <w:sz w:val="24"/>
            <w:szCs w:val="24"/>
            <w:u w:val="single"/>
          </w:rPr>
          <w:t>U.S. Const., art. I, § 1</w:t>
        </w:r>
      </w:hyperlink>
      <w:r w:rsidRPr="00AF665C">
        <w:rPr>
          <w:rFonts w:ascii="Times New Roman" w:eastAsia="Times New Roman" w:hAnsi="Times New Roman" w:cs="Times New Roman"/>
          <w:sz w:val="24"/>
          <w:szCs w:val="24"/>
        </w:rPr>
        <w:t xml:space="preserve">; </w:t>
      </w:r>
      <w:hyperlink r:id="rId12" w:anchor="co_pp_sp_780_692" w:history="1">
        <w:r w:rsidRPr="00AF665C">
          <w:rPr>
            <w:rFonts w:ascii="Times New Roman" w:eastAsia="Times New Roman" w:hAnsi="Times New Roman" w:cs="Times New Roman"/>
            <w:i/>
            <w:iCs/>
            <w:color w:val="0000FF"/>
            <w:sz w:val="24"/>
            <w:szCs w:val="24"/>
            <w:u w:val="single"/>
          </w:rPr>
          <w:t>Field v. Clark</w:t>
        </w:r>
        <w:r w:rsidRPr="00AF665C">
          <w:rPr>
            <w:rFonts w:ascii="Times New Roman" w:eastAsia="Times New Roman" w:hAnsi="Times New Roman" w:cs="Times New Roman"/>
            <w:color w:val="0000FF"/>
            <w:sz w:val="24"/>
            <w:szCs w:val="24"/>
            <w:u w:val="single"/>
          </w:rPr>
          <w:t xml:space="preserve">, 143 U.S. 649, 692, 12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xml:space="preserve">. 495, 36 </w:t>
        </w:r>
        <w:proofErr w:type="spellStart"/>
        <w:r w:rsidRPr="00AF665C">
          <w:rPr>
            <w:rFonts w:ascii="Times New Roman" w:eastAsia="Times New Roman" w:hAnsi="Times New Roman" w:cs="Times New Roman"/>
            <w:color w:val="0000FF"/>
            <w:sz w:val="24"/>
            <w:szCs w:val="24"/>
            <w:u w:val="single"/>
          </w:rPr>
          <w:t>L.Ed</w:t>
        </w:r>
        <w:proofErr w:type="spellEnd"/>
        <w:r w:rsidRPr="00AF665C">
          <w:rPr>
            <w:rFonts w:ascii="Times New Roman" w:eastAsia="Times New Roman" w:hAnsi="Times New Roman" w:cs="Times New Roman"/>
            <w:color w:val="0000FF"/>
            <w:sz w:val="24"/>
            <w:szCs w:val="24"/>
            <w:u w:val="single"/>
          </w:rPr>
          <w:t>. 294 (1892)</w:t>
        </w:r>
      </w:hyperlink>
      <w:r w:rsidRPr="00AF665C">
        <w:rPr>
          <w:rFonts w:ascii="Times New Roman" w:eastAsia="Times New Roman" w:hAnsi="Times New Roman" w:cs="Times New Roman"/>
          <w:sz w:val="24"/>
          <w:szCs w:val="24"/>
        </w:rPr>
        <w:t xml:space="preserve">). That forbidden conveyance is what </w:t>
      </w:r>
      <w:hyperlink r:id="rId13" w:anchor="co_pp_4b24000003ba5" w:history="1">
        <w:r w:rsidRPr="00AF665C">
          <w:rPr>
            <w:rFonts w:ascii="Times New Roman" w:eastAsia="Times New Roman" w:hAnsi="Times New Roman" w:cs="Times New Roman"/>
            <w:color w:val="0000FF"/>
            <w:sz w:val="24"/>
            <w:szCs w:val="24"/>
            <w:u w:val="single"/>
          </w:rPr>
          <w:t>§ 1915(c)</w:t>
        </w:r>
      </w:hyperlink>
      <w:r w:rsidRPr="00AF665C">
        <w:rPr>
          <w:rFonts w:ascii="Times New Roman" w:eastAsia="Times New Roman" w:hAnsi="Times New Roman" w:cs="Times New Roman"/>
          <w:sz w:val="24"/>
          <w:szCs w:val="24"/>
        </w:rPr>
        <w:t xml:space="preserve"> purports to do. It does not delegate to </w:t>
      </w:r>
      <w:proofErr w:type="gramStart"/>
      <w:r w:rsidRPr="00AF665C">
        <w:rPr>
          <w:rFonts w:ascii="Times New Roman" w:eastAsia="Times New Roman" w:hAnsi="Times New Roman" w:cs="Times New Roman"/>
          <w:sz w:val="24"/>
          <w:szCs w:val="24"/>
        </w:rPr>
        <w:t>tribes</w:t>
      </w:r>
      <w:proofErr w:type="gramEnd"/>
      <w:r w:rsidRPr="00AF665C">
        <w:rPr>
          <w:rFonts w:ascii="Times New Roman" w:eastAsia="Times New Roman" w:hAnsi="Times New Roman" w:cs="Times New Roman"/>
          <w:sz w:val="24"/>
          <w:szCs w:val="24"/>
        </w:rPr>
        <w:t xml:space="preserve"> authority merely to regulate under Congress's general guidelines. </w:t>
      </w:r>
      <w:r w:rsidRPr="00AF665C">
        <w:rPr>
          <w:rFonts w:ascii="Times New Roman" w:eastAsia="Times New Roman" w:hAnsi="Times New Roman" w:cs="Times New Roman"/>
          <w:i/>
          <w:iCs/>
          <w:sz w:val="24"/>
          <w:szCs w:val="24"/>
        </w:rPr>
        <w:t>Cf., e.g.</w:t>
      </w:r>
      <w:r w:rsidRPr="00AF665C">
        <w:rPr>
          <w:rFonts w:ascii="Times New Roman" w:eastAsia="Times New Roman" w:hAnsi="Times New Roman" w:cs="Times New Roman"/>
          <w:sz w:val="24"/>
          <w:szCs w:val="24"/>
        </w:rPr>
        <w:t xml:space="preserve">, </w:t>
      </w:r>
      <w:hyperlink r:id="rId14" w:anchor="co_pp_sp_780_165" w:history="1">
        <w:proofErr w:type="spellStart"/>
        <w:r w:rsidRPr="00AF665C">
          <w:rPr>
            <w:rFonts w:ascii="Times New Roman" w:eastAsia="Times New Roman" w:hAnsi="Times New Roman" w:cs="Times New Roman"/>
            <w:i/>
            <w:iCs/>
            <w:color w:val="0000FF"/>
            <w:sz w:val="24"/>
            <w:szCs w:val="24"/>
            <w:u w:val="single"/>
          </w:rPr>
          <w:t>Touby</w:t>
        </w:r>
        <w:proofErr w:type="spellEnd"/>
        <w:r w:rsidRPr="00AF665C">
          <w:rPr>
            <w:rFonts w:ascii="Times New Roman" w:eastAsia="Times New Roman" w:hAnsi="Times New Roman" w:cs="Times New Roman"/>
            <w:color w:val="0000FF"/>
            <w:sz w:val="24"/>
            <w:szCs w:val="24"/>
            <w:u w:val="single"/>
          </w:rPr>
          <w:t xml:space="preserve">, 500 U.S. at 165, 111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1752</w:t>
        </w:r>
      </w:hyperlink>
      <w:r w:rsidRPr="00AF665C">
        <w:rPr>
          <w:rFonts w:ascii="Times New Roman" w:eastAsia="Times New Roman" w:hAnsi="Times New Roman" w:cs="Times New Roman"/>
          <w:sz w:val="24"/>
          <w:szCs w:val="24"/>
        </w:rPr>
        <w:t xml:space="preserve"> (nondelegation not implicated “merely because [Congress] legislates in broad terms, leaving a certain degree of discretion to executive or judicial actors”) (citing *421 </w:t>
      </w:r>
      <w:hyperlink r:id="rId15" w:anchor="co_pp_sp_780_409" w:history="1">
        <w:r w:rsidRPr="00AF665C">
          <w:rPr>
            <w:rFonts w:ascii="Times New Roman" w:eastAsia="Times New Roman" w:hAnsi="Times New Roman" w:cs="Times New Roman"/>
            <w:i/>
            <w:iCs/>
            <w:color w:val="0000FF"/>
            <w:sz w:val="24"/>
            <w:szCs w:val="24"/>
            <w:u w:val="single"/>
          </w:rPr>
          <w:t>J.W. Hampton, Jr., &amp; Co. v. United States</w:t>
        </w:r>
        <w:r w:rsidRPr="00AF665C">
          <w:rPr>
            <w:rFonts w:ascii="Times New Roman" w:eastAsia="Times New Roman" w:hAnsi="Times New Roman" w:cs="Times New Roman"/>
            <w:color w:val="0000FF"/>
            <w:sz w:val="24"/>
            <w:szCs w:val="24"/>
            <w:u w:val="single"/>
          </w:rPr>
          <w:t xml:space="preserve">, 276 U.S. 394, 409, 48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xml:space="preserve">. 348, 72 </w:t>
        </w:r>
        <w:proofErr w:type="spellStart"/>
        <w:r w:rsidRPr="00AF665C">
          <w:rPr>
            <w:rFonts w:ascii="Times New Roman" w:eastAsia="Times New Roman" w:hAnsi="Times New Roman" w:cs="Times New Roman"/>
            <w:color w:val="0000FF"/>
            <w:sz w:val="24"/>
            <w:szCs w:val="24"/>
            <w:u w:val="single"/>
          </w:rPr>
          <w:t>L.Ed</w:t>
        </w:r>
        <w:proofErr w:type="spellEnd"/>
        <w:r w:rsidRPr="00AF665C">
          <w:rPr>
            <w:rFonts w:ascii="Times New Roman" w:eastAsia="Times New Roman" w:hAnsi="Times New Roman" w:cs="Times New Roman"/>
            <w:color w:val="0000FF"/>
            <w:sz w:val="24"/>
            <w:szCs w:val="24"/>
            <w:u w:val="single"/>
          </w:rPr>
          <w:t>. 624 (1928)</w:t>
        </w:r>
      </w:hyperlink>
      <w:r w:rsidRPr="00AF665C">
        <w:rPr>
          <w:rFonts w:ascii="Times New Roman" w:eastAsia="Times New Roman" w:hAnsi="Times New Roman" w:cs="Times New Roman"/>
          <w:sz w:val="24"/>
          <w:szCs w:val="24"/>
        </w:rPr>
        <w:t xml:space="preserve">). Rather, it empowers tribes to change the substantive preferences Congress enacted in </w:t>
      </w:r>
      <w:hyperlink r:id="rId16" w:anchor="co_pp_8b3b0000958a4" w:history="1">
        <w:r w:rsidRPr="00AF665C">
          <w:rPr>
            <w:rFonts w:ascii="Times New Roman" w:eastAsia="Times New Roman" w:hAnsi="Times New Roman" w:cs="Times New Roman"/>
            <w:color w:val="0000FF"/>
            <w:sz w:val="24"/>
            <w:szCs w:val="24"/>
            <w:u w:val="single"/>
          </w:rPr>
          <w:t>§ 1915(a)</w:t>
        </w:r>
      </w:hyperlink>
      <w:r w:rsidRPr="00AF665C">
        <w:rPr>
          <w:rFonts w:ascii="Times New Roman" w:eastAsia="Times New Roman" w:hAnsi="Times New Roman" w:cs="Times New Roman"/>
          <w:sz w:val="24"/>
          <w:szCs w:val="24"/>
        </w:rPr>
        <w:t xml:space="preserve"> and </w:t>
      </w:r>
      <w:hyperlink r:id="rId17" w:anchor="co_pp_a83b000018c76" w:history="1">
        <w:r w:rsidRPr="00AF665C">
          <w:rPr>
            <w:rFonts w:ascii="Times New Roman" w:eastAsia="Times New Roman" w:hAnsi="Times New Roman" w:cs="Times New Roman"/>
            <w:color w:val="0000FF"/>
            <w:sz w:val="24"/>
            <w:szCs w:val="24"/>
            <w:u w:val="single"/>
          </w:rPr>
          <w:t>(b)</w:t>
        </w:r>
      </w:hyperlink>
      <w:r w:rsidRPr="00AF665C">
        <w:rPr>
          <w:rFonts w:ascii="Times New Roman" w:eastAsia="Times New Roman" w:hAnsi="Times New Roman" w:cs="Times New Roman"/>
          <w:sz w:val="24"/>
          <w:szCs w:val="24"/>
        </w:rPr>
        <w:t xml:space="preserve"> and to bind courts, agencies, and private persons to follow them. As the district court correctly reasoned, “[t]he </w:t>
      </w:r>
      <w:proofErr w:type="gramStart"/>
      <w:r w:rsidRPr="00AF665C">
        <w:rPr>
          <w:rFonts w:ascii="Times New Roman" w:eastAsia="Times New Roman" w:hAnsi="Times New Roman" w:cs="Times New Roman"/>
          <w:sz w:val="24"/>
          <w:szCs w:val="24"/>
        </w:rPr>
        <w:t>power</w:t>
      </w:r>
      <w:proofErr w:type="gramEnd"/>
      <w:r w:rsidRPr="00AF665C">
        <w:rPr>
          <w:rFonts w:ascii="Times New Roman" w:eastAsia="Times New Roman" w:hAnsi="Times New Roman" w:cs="Times New Roman"/>
          <w:sz w:val="24"/>
          <w:szCs w:val="24"/>
        </w:rPr>
        <w:t xml:space="preserve"> to change specifically enacted Congressional priorities and impose them on third parties can only be described as legislative.” </w:t>
      </w:r>
      <w:hyperlink r:id="rId18" w:anchor="co_pp_sp_7903_537" w:history="1">
        <w:proofErr w:type="spellStart"/>
        <w:r w:rsidRPr="00AF665C">
          <w:rPr>
            <w:rFonts w:ascii="Times New Roman" w:eastAsia="Times New Roman" w:hAnsi="Times New Roman" w:cs="Times New Roman"/>
            <w:i/>
            <w:iCs/>
            <w:color w:val="0000FF"/>
            <w:sz w:val="24"/>
            <w:szCs w:val="24"/>
            <w:u w:val="single"/>
          </w:rPr>
          <w:t>Brackeen</w:t>
        </w:r>
        <w:proofErr w:type="spellEnd"/>
        <w:r w:rsidRPr="00AF665C">
          <w:rPr>
            <w:rFonts w:ascii="Times New Roman" w:eastAsia="Times New Roman" w:hAnsi="Times New Roman" w:cs="Times New Roman"/>
            <w:color w:val="0000FF"/>
            <w:sz w:val="24"/>
            <w:szCs w:val="24"/>
            <w:u w:val="single"/>
          </w:rPr>
          <w:t>, 338 F. Supp. 3d at 537</w:t>
        </w:r>
      </w:hyperlink>
      <w:r w:rsidRPr="00AF665C">
        <w:rPr>
          <w:rFonts w:ascii="Times New Roman" w:eastAsia="Times New Roman" w:hAnsi="Times New Roman" w:cs="Times New Roman"/>
          <w:sz w:val="24"/>
          <w:szCs w:val="24"/>
        </w:rPr>
        <w:t xml:space="preserve">; </w:t>
      </w:r>
      <w:r w:rsidRPr="00AF665C">
        <w:rPr>
          <w:rFonts w:ascii="Times New Roman" w:eastAsia="Times New Roman" w:hAnsi="Times New Roman" w:cs="Times New Roman"/>
          <w:i/>
          <w:iCs/>
          <w:sz w:val="24"/>
          <w:szCs w:val="24"/>
        </w:rPr>
        <w:t xml:space="preserve">see also </w:t>
      </w:r>
      <w:hyperlink r:id="rId19" w:anchor="co_pp_sp_780_952" w:history="1">
        <w:r w:rsidRPr="00AF665C">
          <w:rPr>
            <w:rFonts w:ascii="Times New Roman" w:eastAsia="Times New Roman" w:hAnsi="Times New Roman" w:cs="Times New Roman"/>
            <w:i/>
            <w:iCs/>
            <w:color w:val="0000FF"/>
            <w:sz w:val="24"/>
            <w:szCs w:val="24"/>
            <w:u w:val="single"/>
          </w:rPr>
          <w:t>INS v. Chadha</w:t>
        </w:r>
        <w:r w:rsidRPr="00AF665C">
          <w:rPr>
            <w:rFonts w:ascii="Times New Roman" w:eastAsia="Times New Roman" w:hAnsi="Times New Roman" w:cs="Times New Roman"/>
            <w:color w:val="0000FF"/>
            <w:sz w:val="24"/>
            <w:szCs w:val="24"/>
            <w:u w:val="single"/>
          </w:rPr>
          <w:t xml:space="preserve">, 462 U.S. 919, 952, 103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2764, 77 L.Ed.2d 317 (1983)</w:t>
        </w:r>
      </w:hyperlink>
      <w:r w:rsidRPr="00AF665C">
        <w:rPr>
          <w:rFonts w:ascii="Times New Roman" w:eastAsia="Times New Roman" w:hAnsi="Times New Roman" w:cs="Times New Roman"/>
          <w:sz w:val="24"/>
          <w:szCs w:val="24"/>
        </w:rPr>
        <w:t xml:space="preserve"> (explaining “action that had the purpose and effect of altering the legal rights, duties and relations of persons” is “essentially legislative in purpose and effect”). This “delegation of power to make the law,” Chief Justice Marshall explained long ago, “cannot be done.” </w:t>
      </w:r>
      <w:hyperlink r:id="rId20" w:anchor="co_pp_sp_780_759" w:history="1">
        <w:r w:rsidRPr="00AF665C">
          <w:rPr>
            <w:rFonts w:ascii="Times New Roman" w:eastAsia="Times New Roman" w:hAnsi="Times New Roman" w:cs="Times New Roman"/>
            <w:i/>
            <w:iCs/>
            <w:color w:val="0000FF"/>
            <w:sz w:val="24"/>
            <w:szCs w:val="24"/>
            <w:u w:val="single"/>
          </w:rPr>
          <w:t>Loving</w:t>
        </w:r>
        <w:r w:rsidRPr="00AF665C">
          <w:rPr>
            <w:rFonts w:ascii="Times New Roman" w:eastAsia="Times New Roman" w:hAnsi="Times New Roman" w:cs="Times New Roman"/>
            <w:color w:val="0000FF"/>
            <w:sz w:val="24"/>
            <w:szCs w:val="24"/>
            <w:u w:val="single"/>
          </w:rPr>
          <w:t xml:space="preserve">, 517 U.S. at 759, 116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1737</w:t>
        </w:r>
      </w:hyperlink>
      <w:r w:rsidRPr="00AF665C">
        <w:rPr>
          <w:rFonts w:ascii="Times New Roman" w:eastAsia="Times New Roman" w:hAnsi="Times New Roman" w:cs="Times New Roman"/>
          <w:sz w:val="24"/>
          <w:szCs w:val="24"/>
        </w:rPr>
        <w:t xml:space="preserve"> (quoting </w:t>
      </w:r>
      <w:hyperlink r:id="rId21" w:anchor="co_pp_sp_780_42" w:history="1">
        <w:r w:rsidRPr="00AF665C">
          <w:rPr>
            <w:rFonts w:ascii="Times New Roman" w:eastAsia="Times New Roman" w:hAnsi="Times New Roman" w:cs="Times New Roman"/>
            <w:i/>
            <w:iCs/>
            <w:color w:val="0000FF"/>
            <w:sz w:val="24"/>
            <w:szCs w:val="24"/>
            <w:u w:val="single"/>
          </w:rPr>
          <w:t>Wayman v. Southard</w:t>
        </w:r>
        <w:r w:rsidRPr="00AF665C">
          <w:rPr>
            <w:rFonts w:ascii="Times New Roman" w:eastAsia="Times New Roman" w:hAnsi="Times New Roman" w:cs="Times New Roman"/>
            <w:color w:val="0000FF"/>
            <w:sz w:val="24"/>
            <w:szCs w:val="24"/>
            <w:u w:val="single"/>
          </w:rPr>
          <w:t xml:space="preserve">, 23 U.S. (10 Wheat.) 1, 42, 6 </w:t>
        </w:r>
        <w:proofErr w:type="spellStart"/>
        <w:r w:rsidRPr="00AF665C">
          <w:rPr>
            <w:rFonts w:ascii="Times New Roman" w:eastAsia="Times New Roman" w:hAnsi="Times New Roman" w:cs="Times New Roman"/>
            <w:color w:val="0000FF"/>
            <w:sz w:val="24"/>
            <w:szCs w:val="24"/>
            <w:u w:val="single"/>
          </w:rPr>
          <w:t>L.Ed</w:t>
        </w:r>
        <w:proofErr w:type="spellEnd"/>
        <w:r w:rsidRPr="00AF665C">
          <w:rPr>
            <w:rFonts w:ascii="Times New Roman" w:eastAsia="Times New Roman" w:hAnsi="Times New Roman" w:cs="Times New Roman"/>
            <w:color w:val="0000FF"/>
            <w:sz w:val="24"/>
            <w:szCs w:val="24"/>
            <w:u w:val="single"/>
          </w:rPr>
          <w:t>. 253 (1825)</w:t>
        </w:r>
      </w:hyperlink>
      <w:r w:rsidRPr="00AF665C">
        <w:rPr>
          <w:rFonts w:ascii="Times New Roman" w:eastAsia="Times New Roman" w:hAnsi="Times New Roman" w:cs="Times New Roman"/>
          <w:sz w:val="24"/>
          <w:szCs w:val="24"/>
        </w:rPr>
        <w:t xml:space="preserve"> (Marshall, C.J.)); </w:t>
      </w:r>
      <w:r w:rsidRPr="00AF665C">
        <w:rPr>
          <w:rFonts w:ascii="Times New Roman" w:eastAsia="Times New Roman" w:hAnsi="Times New Roman" w:cs="Times New Roman"/>
          <w:i/>
          <w:iCs/>
          <w:sz w:val="24"/>
          <w:szCs w:val="24"/>
        </w:rPr>
        <w:t xml:space="preserve">see also </w:t>
      </w:r>
      <w:hyperlink r:id="rId22" w:anchor="co_pp_sp_780_529" w:history="1">
        <w:r w:rsidRPr="00AF665C">
          <w:rPr>
            <w:rFonts w:ascii="Times New Roman" w:eastAsia="Times New Roman" w:hAnsi="Times New Roman" w:cs="Times New Roman"/>
            <w:i/>
            <w:iCs/>
            <w:color w:val="0000FF"/>
            <w:sz w:val="24"/>
            <w:szCs w:val="24"/>
            <w:u w:val="single"/>
          </w:rPr>
          <w:t>A.L.A. Schechter Poultry Corp. v. United States</w:t>
        </w:r>
        <w:r w:rsidRPr="00AF665C">
          <w:rPr>
            <w:rFonts w:ascii="Times New Roman" w:eastAsia="Times New Roman" w:hAnsi="Times New Roman" w:cs="Times New Roman"/>
            <w:color w:val="0000FF"/>
            <w:sz w:val="24"/>
            <w:szCs w:val="24"/>
            <w:u w:val="single"/>
          </w:rPr>
          <w:t xml:space="preserve">, 295 U.S. 495, 529, 55 </w:t>
        </w:r>
        <w:proofErr w:type="spellStart"/>
        <w:r w:rsidRPr="00AF665C">
          <w:rPr>
            <w:rFonts w:ascii="Times New Roman" w:eastAsia="Times New Roman" w:hAnsi="Times New Roman" w:cs="Times New Roman"/>
            <w:color w:val="0000FF"/>
            <w:sz w:val="24"/>
            <w:szCs w:val="24"/>
            <w:u w:val="single"/>
          </w:rPr>
          <w:t>S.Ct</w:t>
        </w:r>
        <w:proofErr w:type="spellEnd"/>
        <w:r w:rsidRPr="00AF665C">
          <w:rPr>
            <w:rFonts w:ascii="Times New Roman" w:eastAsia="Times New Roman" w:hAnsi="Times New Roman" w:cs="Times New Roman"/>
            <w:color w:val="0000FF"/>
            <w:sz w:val="24"/>
            <w:szCs w:val="24"/>
            <w:u w:val="single"/>
          </w:rPr>
          <w:t xml:space="preserve">. 837, 79 </w:t>
        </w:r>
        <w:proofErr w:type="spellStart"/>
        <w:r w:rsidRPr="00AF665C">
          <w:rPr>
            <w:rFonts w:ascii="Times New Roman" w:eastAsia="Times New Roman" w:hAnsi="Times New Roman" w:cs="Times New Roman"/>
            <w:color w:val="0000FF"/>
            <w:sz w:val="24"/>
            <w:szCs w:val="24"/>
            <w:u w:val="single"/>
          </w:rPr>
          <w:t>L.Ed</w:t>
        </w:r>
        <w:proofErr w:type="spellEnd"/>
        <w:r w:rsidRPr="00AF665C">
          <w:rPr>
            <w:rFonts w:ascii="Times New Roman" w:eastAsia="Times New Roman" w:hAnsi="Times New Roman" w:cs="Times New Roman"/>
            <w:color w:val="0000FF"/>
            <w:sz w:val="24"/>
            <w:szCs w:val="24"/>
            <w:u w:val="single"/>
          </w:rPr>
          <w:t>. 1570 (1935)</w:t>
        </w:r>
      </w:hyperlink>
      <w:r w:rsidRPr="00AF665C">
        <w:rPr>
          <w:rFonts w:ascii="Times New Roman" w:eastAsia="Times New Roman" w:hAnsi="Times New Roman" w:cs="Times New Roman"/>
          <w:sz w:val="24"/>
          <w:szCs w:val="24"/>
        </w:rPr>
        <w:t xml:space="preserve"> (“The Congress is not permitted to abdicate or to transfer to others the essential legislative functions with which it is vested.”).</w:t>
      </w:r>
    </w:p>
    <w:p w14:paraId="537164F8" w14:textId="7FF22DD2" w:rsidR="00AF665C" w:rsidRDefault="00AF665C"/>
    <w:p w14:paraId="08D4C2CF" w14:textId="1A619D6D" w:rsidR="00AF665C" w:rsidRDefault="00AF665C">
      <w:r>
        <w:t>El Paso County v. Trump, 982 F.3d 222</w:t>
      </w:r>
      <w:r w:rsidR="00DD36B3">
        <w:t>, 370 n.8 (Dennis, J., dissenting):</w:t>
      </w:r>
    </w:p>
    <w:p w14:paraId="4FEE4EDB" w14:textId="77777777" w:rsidR="00DD36B3" w:rsidRPr="00DD36B3" w:rsidRDefault="00DD36B3" w:rsidP="00DD36B3">
      <w:pPr>
        <w:spacing w:after="0" w:line="240" w:lineRule="auto"/>
        <w:rPr>
          <w:rFonts w:ascii="Times New Roman" w:eastAsia="Times New Roman" w:hAnsi="Times New Roman" w:cs="Times New Roman"/>
          <w:sz w:val="24"/>
          <w:szCs w:val="24"/>
        </w:rPr>
      </w:pPr>
      <w:hyperlink r:id="rId23" w:anchor="co_fnRef_B00942052509368_ID0EWUFK" w:history="1">
        <w:r w:rsidRPr="00DD36B3">
          <w:rPr>
            <w:rFonts w:ascii="Times New Roman" w:eastAsia="Times New Roman" w:hAnsi="Times New Roman" w:cs="Times New Roman"/>
            <w:color w:val="0000FF"/>
            <w:sz w:val="24"/>
            <w:szCs w:val="24"/>
            <w:u w:val="single"/>
          </w:rPr>
          <w:t>8</w:t>
        </w:r>
      </w:hyperlink>
    </w:p>
    <w:p w14:paraId="04541362"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Indeed, such limitations are arguably necessary for the NEA to pass constitutional muster. </w:t>
      </w:r>
      <w:hyperlink r:id="rId24" w:history="1">
        <w:r w:rsidRPr="00DD36B3">
          <w:rPr>
            <w:rFonts w:ascii="Times New Roman" w:eastAsia="Times New Roman" w:hAnsi="Times New Roman" w:cs="Times New Roman"/>
            <w:color w:val="0000FF"/>
            <w:sz w:val="24"/>
            <w:szCs w:val="24"/>
            <w:u w:val="single"/>
          </w:rPr>
          <w:t>Article I of the Constitution</w:t>
        </w:r>
      </w:hyperlink>
      <w:r w:rsidRPr="00DD36B3">
        <w:rPr>
          <w:rFonts w:ascii="Times New Roman" w:eastAsia="Times New Roman" w:hAnsi="Times New Roman" w:cs="Times New Roman"/>
          <w:sz w:val="24"/>
          <w:szCs w:val="24"/>
        </w:rPr>
        <w:t xml:space="preserve"> vests “[a]</w:t>
      </w:r>
      <w:proofErr w:type="spellStart"/>
      <w:r w:rsidRPr="00DD36B3">
        <w:rPr>
          <w:rFonts w:ascii="Times New Roman" w:eastAsia="Times New Roman" w:hAnsi="Times New Roman" w:cs="Times New Roman"/>
          <w:sz w:val="24"/>
          <w:szCs w:val="24"/>
        </w:rPr>
        <w:t>ll</w:t>
      </w:r>
      <w:proofErr w:type="spellEnd"/>
      <w:r w:rsidRPr="00DD36B3">
        <w:rPr>
          <w:rFonts w:ascii="Times New Roman" w:eastAsia="Times New Roman" w:hAnsi="Times New Roman" w:cs="Times New Roman"/>
          <w:sz w:val="24"/>
          <w:szCs w:val="24"/>
        </w:rPr>
        <w:t xml:space="preserve"> legislative Powers ... in a Congress of the United States.” The Supreme Court has long held that “[t]his text permits no delegation of those powers.” </w:t>
      </w:r>
      <w:hyperlink r:id="rId25" w:anchor="co_pp_sp_780_472" w:history="1">
        <w:r w:rsidRPr="00DD36B3">
          <w:rPr>
            <w:rFonts w:ascii="Times New Roman" w:eastAsia="Times New Roman" w:hAnsi="Times New Roman" w:cs="Times New Roman"/>
            <w:i/>
            <w:iCs/>
            <w:color w:val="0000FF"/>
            <w:sz w:val="24"/>
            <w:szCs w:val="24"/>
            <w:u w:val="single"/>
          </w:rPr>
          <w:t xml:space="preserve">Whitman v. Am. Trucking </w:t>
        </w:r>
        <w:proofErr w:type="spellStart"/>
        <w:r w:rsidRPr="00DD36B3">
          <w:rPr>
            <w:rFonts w:ascii="Times New Roman" w:eastAsia="Times New Roman" w:hAnsi="Times New Roman" w:cs="Times New Roman"/>
            <w:i/>
            <w:iCs/>
            <w:color w:val="0000FF"/>
            <w:sz w:val="24"/>
            <w:szCs w:val="24"/>
            <w:u w:val="single"/>
          </w:rPr>
          <w:t>Ass'ns</w:t>
        </w:r>
        <w:proofErr w:type="spellEnd"/>
        <w:r w:rsidRPr="00DD36B3">
          <w:rPr>
            <w:rFonts w:ascii="Times New Roman" w:eastAsia="Times New Roman" w:hAnsi="Times New Roman" w:cs="Times New Roman"/>
            <w:color w:val="0000FF"/>
            <w:sz w:val="24"/>
            <w:szCs w:val="24"/>
            <w:u w:val="single"/>
          </w:rPr>
          <w:t xml:space="preserve">, 531 U.S. 457, 472, 121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903, 149 L.Ed.2d 1 (2001)</w:t>
        </w:r>
      </w:hyperlink>
      <w:r w:rsidRPr="00DD36B3">
        <w:rPr>
          <w:rFonts w:ascii="Times New Roman" w:eastAsia="Times New Roman" w:hAnsi="Times New Roman" w:cs="Times New Roman"/>
          <w:sz w:val="24"/>
          <w:szCs w:val="24"/>
        </w:rPr>
        <w:t xml:space="preserve">. Therefore, when Congress confers decision making authority on the Executive, it must “lay down ... an intelligible principle to which” the Executive “is directed to conform.” </w:t>
      </w:r>
      <w:hyperlink r:id="rId26" w:anchor="co_pp_sp_780_409" w:history="1">
        <w:r w:rsidRPr="00DD36B3">
          <w:rPr>
            <w:rFonts w:ascii="Times New Roman" w:eastAsia="Times New Roman" w:hAnsi="Times New Roman" w:cs="Times New Roman"/>
            <w:i/>
            <w:iCs/>
            <w:color w:val="0000FF"/>
            <w:sz w:val="24"/>
            <w:szCs w:val="24"/>
            <w:u w:val="single"/>
          </w:rPr>
          <w:t>J.W. Hampton, Jr., &amp; Co. v. U.S.</w:t>
        </w:r>
        <w:r w:rsidRPr="00DD36B3">
          <w:rPr>
            <w:rFonts w:ascii="Times New Roman" w:eastAsia="Times New Roman" w:hAnsi="Times New Roman" w:cs="Times New Roman"/>
            <w:color w:val="0000FF"/>
            <w:sz w:val="24"/>
            <w:szCs w:val="24"/>
            <w:u w:val="single"/>
          </w:rPr>
          <w:t xml:space="preserve">, 276 U.S. 394, 409, 48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348, 72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624 (1928)</w:t>
        </w:r>
      </w:hyperlink>
      <w:r w:rsidRPr="00DD36B3">
        <w:rPr>
          <w:rFonts w:ascii="Times New Roman" w:eastAsia="Times New Roman" w:hAnsi="Times New Roman" w:cs="Times New Roman"/>
          <w:sz w:val="24"/>
          <w:szCs w:val="24"/>
        </w:rPr>
        <w:t xml:space="preserve">. The lack of any intelligible principle to guide the President in determining when an emergency exists is particularly troublesome because, “the degree of [executive] discretion that is acceptable varies according to the scope of the power congressionally conferred.” </w:t>
      </w:r>
      <w:hyperlink r:id="rId27" w:anchor="co_pp_sp_780_475" w:history="1">
        <w:r w:rsidRPr="00DD36B3">
          <w:rPr>
            <w:rFonts w:ascii="Times New Roman" w:eastAsia="Times New Roman" w:hAnsi="Times New Roman" w:cs="Times New Roman"/>
            <w:i/>
            <w:iCs/>
            <w:color w:val="0000FF"/>
            <w:sz w:val="24"/>
            <w:szCs w:val="24"/>
            <w:u w:val="single"/>
          </w:rPr>
          <w:t>Whitman</w:t>
        </w:r>
        <w:r w:rsidRPr="00DD36B3">
          <w:rPr>
            <w:rFonts w:ascii="Times New Roman" w:eastAsia="Times New Roman" w:hAnsi="Times New Roman" w:cs="Times New Roman"/>
            <w:color w:val="0000FF"/>
            <w:sz w:val="24"/>
            <w:szCs w:val="24"/>
            <w:u w:val="single"/>
          </w:rPr>
          <w:t xml:space="preserve">, 531 U.S. at 475, 121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903</w:t>
        </w:r>
      </w:hyperlink>
      <w:r w:rsidRPr="00DD36B3">
        <w:rPr>
          <w:rFonts w:ascii="Times New Roman" w:eastAsia="Times New Roman" w:hAnsi="Times New Roman" w:cs="Times New Roman"/>
          <w:sz w:val="24"/>
          <w:szCs w:val="24"/>
        </w:rPr>
        <w:t xml:space="preserve">. In passing the NEA, Congress itself recognized that the executive powers triggered by a national emergency declaration are “extraordinary.” S. Rep. No. 93-1170, at 2. At the time of the Act's passage, they included the power “to seize property and commodities, organize and control the means of production, assign military forces abroad and restrict travel.” </w:t>
      </w:r>
      <w:r w:rsidRPr="00DD36B3">
        <w:rPr>
          <w:rFonts w:ascii="Times New Roman" w:eastAsia="Times New Roman" w:hAnsi="Times New Roman" w:cs="Times New Roman"/>
          <w:i/>
          <w:iCs/>
          <w:sz w:val="24"/>
          <w:szCs w:val="24"/>
        </w:rPr>
        <w:t>Id</w:t>
      </w:r>
      <w:r w:rsidRPr="00DD36B3">
        <w:rPr>
          <w:rFonts w:ascii="Times New Roman" w:eastAsia="Times New Roman" w:hAnsi="Times New Roman" w:cs="Times New Roman"/>
          <w:sz w:val="24"/>
          <w:szCs w:val="24"/>
        </w:rPr>
        <w:t xml:space="preserve">. Today, they include the power to permit testing of chemical weapons on human subjects, </w:t>
      </w:r>
      <w:hyperlink r:id="rId28" w:history="1">
        <w:r w:rsidRPr="00DD36B3">
          <w:rPr>
            <w:rFonts w:ascii="Times New Roman" w:eastAsia="Times New Roman" w:hAnsi="Times New Roman" w:cs="Times New Roman"/>
            <w:color w:val="0000FF"/>
            <w:sz w:val="24"/>
            <w:szCs w:val="24"/>
            <w:u w:val="single"/>
          </w:rPr>
          <w:t>50 U.S.C. § 1515</w:t>
        </w:r>
      </w:hyperlink>
      <w:r w:rsidRPr="00DD36B3">
        <w:rPr>
          <w:rFonts w:ascii="Times New Roman" w:eastAsia="Times New Roman" w:hAnsi="Times New Roman" w:cs="Times New Roman"/>
          <w:sz w:val="24"/>
          <w:szCs w:val="24"/>
        </w:rPr>
        <w:t xml:space="preserve">; to prohibit the export of any agricultural commodity, </w:t>
      </w:r>
      <w:hyperlink r:id="rId29" w:anchor="co_pp_4b24000003ba5" w:history="1">
        <w:r w:rsidRPr="00DD36B3">
          <w:rPr>
            <w:rFonts w:ascii="Times New Roman" w:eastAsia="Times New Roman" w:hAnsi="Times New Roman" w:cs="Times New Roman"/>
            <w:color w:val="0000FF"/>
            <w:sz w:val="24"/>
            <w:szCs w:val="24"/>
            <w:u w:val="single"/>
          </w:rPr>
          <w:t>7 U.S.C. § 5712(c)</w:t>
        </w:r>
      </w:hyperlink>
      <w:r w:rsidRPr="00DD36B3">
        <w:rPr>
          <w:rFonts w:ascii="Times New Roman" w:eastAsia="Times New Roman" w:hAnsi="Times New Roman" w:cs="Times New Roman"/>
          <w:sz w:val="24"/>
          <w:szCs w:val="24"/>
        </w:rPr>
        <w:t xml:space="preserve">; and to suspend minimum-wage requirements for public contracts, </w:t>
      </w:r>
      <w:hyperlink r:id="rId30" w:history="1">
        <w:r w:rsidRPr="00DD36B3">
          <w:rPr>
            <w:rFonts w:ascii="Times New Roman" w:eastAsia="Times New Roman" w:hAnsi="Times New Roman" w:cs="Times New Roman"/>
            <w:color w:val="0000FF"/>
            <w:sz w:val="24"/>
            <w:szCs w:val="24"/>
            <w:u w:val="single"/>
          </w:rPr>
          <w:t>40 U.S.C. § 3147</w:t>
        </w:r>
      </w:hyperlink>
      <w:r w:rsidRPr="00DD36B3">
        <w:rPr>
          <w:rFonts w:ascii="Times New Roman" w:eastAsia="Times New Roman" w:hAnsi="Times New Roman" w:cs="Times New Roman"/>
          <w:sz w:val="24"/>
          <w:szCs w:val="24"/>
        </w:rPr>
        <w:t xml:space="preserve">. Given the sweeping nature of this authority, adopting the Government's argued interpretation—under which the President has unbridled discretion to exercise his emergency powers subject only to Congress's power to terminate the emergency by enacting legislation—would likely result in a non-delegation violation. </w:t>
      </w:r>
      <w:r w:rsidRPr="00DD36B3">
        <w:rPr>
          <w:rFonts w:ascii="Times New Roman" w:eastAsia="Times New Roman" w:hAnsi="Times New Roman" w:cs="Times New Roman"/>
          <w:i/>
          <w:iCs/>
          <w:sz w:val="24"/>
          <w:szCs w:val="24"/>
        </w:rPr>
        <w:t xml:space="preserve">Cf. </w:t>
      </w:r>
      <w:hyperlink r:id="rId31" w:history="1">
        <w:r w:rsidRPr="00DD36B3">
          <w:rPr>
            <w:rFonts w:ascii="Times New Roman" w:eastAsia="Times New Roman" w:hAnsi="Times New Roman" w:cs="Times New Roman"/>
            <w:i/>
            <w:iCs/>
            <w:color w:val="0000FF"/>
            <w:sz w:val="24"/>
            <w:szCs w:val="24"/>
            <w:u w:val="single"/>
          </w:rPr>
          <w:t>Panama Refining Co. v. Ryan</w:t>
        </w:r>
        <w:r w:rsidRPr="00DD36B3">
          <w:rPr>
            <w:rFonts w:ascii="Times New Roman" w:eastAsia="Times New Roman" w:hAnsi="Times New Roman" w:cs="Times New Roman"/>
            <w:color w:val="0000FF"/>
            <w:sz w:val="24"/>
            <w:szCs w:val="24"/>
            <w:u w:val="single"/>
          </w:rPr>
          <w:t xml:space="preserve">, 293 U.S. 388,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241, 79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446 (1935)</w:t>
        </w:r>
      </w:hyperlink>
      <w:r w:rsidRPr="00DD36B3">
        <w:rPr>
          <w:rFonts w:ascii="Times New Roman" w:eastAsia="Times New Roman" w:hAnsi="Times New Roman" w:cs="Times New Roman"/>
          <w:sz w:val="24"/>
          <w:szCs w:val="24"/>
        </w:rPr>
        <w:t xml:space="preserve"> (striking down a statute on nondelegation grounds that allowed the President to prohibit the transport of petroleum product beyond state quotas because it “establish[ed] no criterion to govern the President's” decision and “left the matter to the President without standard or rule, to be dealt with as he pleased.”).</w:t>
      </w:r>
    </w:p>
    <w:p w14:paraId="2DE10F01" w14:textId="287858B1" w:rsidR="00DD36B3" w:rsidRDefault="00DD36B3"/>
    <w:p w14:paraId="2BEF39B8" w14:textId="13862342" w:rsidR="00DD36B3" w:rsidRDefault="00DD36B3"/>
    <w:p w14:paraId="1C036588" w14:textId="42D11A63" w:rsidR="00DD36B3" w:rsidRDefault="00DD36B3">
      <w:r>
        <w:t>Big Time Vapes, Inc., v. FDA, 963 F.3d 436, 441-43</w:t>
      </w:r>
      <w:r w:rsidR="001C511A">
        <w:t xml:space="preserve"> &amp; nn.14-21</w:t>
      </w:r>
      <w:r>
        <w:t>, 446-47</w:t>
      </w:r>
      <w:r w:rsidR="001C511A">
        <w:t xml:space="preserve"> &amp; nn.27-29</w:t>
      </w:r>
      <w:r>
        <w:t xml:space="preserve"> (5</w:t>
      </w:r>
      <w:r w:rsidRPr="00DD36B3">
        <w:rPr>
          <w:vertAlign w:val="superscript"/>
        </w:rPr>
        <w:t>th</w:t>
      </w:r>
      <w:r>
        <w:t xml:space="preserve"> Cir. 2020):</w:t>
      </w:r>
    </w:p>
    <w:p w14:paraId="44A3D227"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“All legislative Powers herein granted shall be vested in a Congress of the United States.” </w:t>
      </w:r>
      <w:hyperlink r:id="rId32" w:history="1">
        <w:r w:rsidRPr="00DD36B3">
          <w:rPr>
            <w:rFonts w:ascii="Times New Roman" w:eastAsia="Times New Roman" w:hAnsi="Times New Roman" w:cs="Times New Roman"/>
            <w:color w:val="0000FF"/>
            <w:sz w:val="24"/>
            <w:szCs w:val="24"/>
            <w:u w:val="single"/>
          </w:rPr>
          <w:t>U.S. Const. art. I, § 1</w:t>
        </w:r>
      </w:hyperlink>
      <w:r w:rsidRPr="00DD36B3">
        <w:rPr>
          <w:rFonts w:ascii="Times New Roman" w:eastAsia="Times New Roman" w:hAnsi="Times New Roman" w:cs="Times New Roman"/>
          <w:sz w:val="24"/>
          <w:szCs w:val="24"/>
        </w:rPr>
        <w:t xml:space="preserve">. “Accompanying that assignment of power to Congress is a bar on its further delegation.” </w:t>
      </w:r>
      <w:hyperlink r:id="rId33" w:anchor="co_pp_sp_708_2123" w:history="1">
        <w:r w:rsidRPr="00DD36B3">
          <w:rPr>
            <w:rFonts w:ascii="Times New Roman" w:eastAsia="Times New Roman" w:hAnsi="Times New Roman" w:cs="Times New Roman"/>
            <w:i/>
            <w:iCs/>
            <w:color w:val="0000FF"/>
            <w:sz w:val="24"/>
            <w:szCs w:val="24"/>
            <w:u w:val="single"/>
          </w:rPr>
          <w:t>Gundy v. United States</w:t>
        </w:r>
        <w:r w:rsidRPr="00DD36B3">
          <w:rPr>
            <w:rFonts w:ascii="Times New Roman" w:eastAsia="Times New Roman" w:hAnsi="Times New Roman" w:cs="Times New Roman"/>
            <w:color w:val="0000FF"/>
            <w:sz w:val="24"/>
            <w:szCs w:val="24"/>
            <w:u w:val="single"/>
          </w:rPr>
          <w:t>, ––– U.S. ––––, 139 S. Ct. 2116, 2123, 204 L.Ed.2d 522 (2019)</w:t>
        </w:r>
      </w:hyperlink>
      <w:r w:rsidRPr="00DD36B3">
        <w:rPr>
          <w:rFonts w:ascii="Times New Roman" w:eastAsia="Times New Roman" w:hAnsi="Times New Roman" w:cs="Times New Roman"/>
          <w:sz w:val="24"/>
          <w:szCs w:val="24"/>
        </w:rPr>
        <w:t xml:space="preserve"> (plurality). “Th[at] nondelegation doctrine is rooted in the principle of separation of powers that underlies our tripartite system of Government.” </w:t>
      </w:r>
      <w:hyperlink r:id="rId34" w:anchor="co_pp_sp_780_371" w:history="1">
        <w:proofErr w:type="spellStart"/>
        <w:r w:rsidRPr="00DD36B3">
          <w:rPr>
            <w:rFonts w:ascii="Times New Roman" w:eastAsia="Times New Roman" w:hAnsi="Times New Roman" w:cs="Times New Roman"/>
            <w:i/>
            <w:iCs/>
            <w:color w:val="0000FF"/>
            <w:sz w:val="24"/>
            <w:szCs w:val="24"/>
            <w:u w:val="single"/>
          </w:rPr>
          <w:t>Mistretta</w:t>
        </w:r>
        <w:proofErr w:type="spellEnd"/>
        <w:r w:rsidRPr="00DD36B3">
          <w:rPr>
            <w:rFonts w:ascii="Times New Roman" w:eastAsia="Times New Roman" w:hAnsi="Times New Roman" w:cs="Times New Roman"/>
            <w:i/>
            <w:iCs/>
            <w:color w:val="0000FF"/>
            <w:sz w:val="24"/>
            <w:szCs w:val="24"/>
            <w:u w:val="single"/>
          </w:rPr>
          <w:t xml:space="preserve"> v. United States</w:t>
        </w:r>
        <w:r w:rsidRPr="00DD36B3">
          <w:rPr>
            <w:rFonts w:ascii="Times New Roman" w:eastAsia="Times New Roman" w:hAnsi="Times New Roman" w:cs="Times New Roman"/>
            <w:color w:val="0000FF"/>
            <w:sz w:val="24"/>
            <w:szCs w:val="24"/>
            <w:u w:val="single"/>
          </w:rPr>
          <w:t xml:space="preserve">, 488 U.S. 361, 371, 109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647, 102 L.Ed.2d 714 (1989)</w:t>
        </w:r>
      </w:hyperlink>
      <w:r w:rsidRPr="00DD36B3">
        <w:rPr>
          <w:rFonts w:ascii="Times New Roman" w:eastAsia="Times New Roman" w:hAnsi="Times New Roman" w:cs="Times New Roman"/>
          <w:sz w:val="24"/>
          <w:szCs w:val="24"/>
        </w:rPr>
        <w:t xml:space="preserve">. “[T]he lawmaking function belongs to Congress,” </w:t>
      </w:r>
      <w:hyperlink r:id="rId35" w:anchor="co_pp_sp_780_758" w:history="1">
        <w:r w:rsidRPr="00DD36B3">
          <w:rPr>
            <w:rFonts w:ascii="Times New Roman" w:eastAsia="Times New Roman" w:hAnsi="Times New Roman" w:cs="Times New Roman"/>
            <w:i/>
            <w:iCs/>
            <w:color w:val="0000FF"/>
            <w:sz w:val="24"/>
            <w:szCs w:val="24"/>
            <w:u w:val="single"/>
          </w:rPr>
          <w:t>Loving v. United States</w:t>
        </w:r>
        <w:r w:rsidRPr="00DD36B3">
          <w:rPr>
            <w:rFonts w:ascii="Times New Roman" w:eastAsia="Times New Roman" w:hAnsi="Times New Roman" w:cs="Times New Roman"/>
            <w:color w:val="0000FF"/>
            <w:sz w:val="24"/>
            <w:szCs w:val="24"/>
            <w:u w:val="single"/>
          </w:rPr>
          <w:t xml:space="preserve">, 517 U.S. 748, 758, 116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1737, 135 L.Ed.2d 36 (1996)</w:t>
        </w:r>
      </w:hyperlink>
      <w:r w:rsidRPr="00DD36B3">
        <w:rPr>
          <w:rFonts w:ascii="Times New Roman" w:eastAsia="Times New Roman" w:hAnsi="Times New Roman" w:cs="Times New Roman"/>
          <w:sz w:val="24"/>
          <w:szCs w:val="24"/>
        </w:rPr>
        <w:t xml:space="preserve">, and Congress “may not constitutionally delegate [that] power to another” constitutional principal, </w:t>
      </w:r>
      <w:hyperlink r:id="rId36" w:anchor="co_pp_sp_780_165" w:history="1">
        <w:proofErr w:type="spellStart"/>
        <w:r w:rsidRPr="00DD36B3">
          <w:rPr>
            <w:rFonts w:ascii="Times New Roman" w:eastAsia="Times New Roman" w:hAnsi="Times New Roman" w:cs="Times New Roman"/>
            <w:i/>
            <w:iCs/>
            <w:color w:val="0000FF"/>
            <w:sz w:val="24"/>
            <w:szCs w:val="24"/>
            <w:u w:val="single"/>
          </w:rPr>
          <w:t>Touby</w:t>
        </w:r>
        <w:proofErr w:type="spellEnd"/>
        <w:r w:rsidRPr="00DD36B3">
          <w:rPr>
            <w:rFonts w:ascii="Times New Roman" w:eastAsia="Times New Roman" w:hAnsi="Times New Roman" w:cs="Times New Roman"/>
            <w:i/>
            <w:iCs/>
            <w:color w:val="0000FF"/>
            <w:sz w:val="24"/>
            <w:szCs w:val="24"/>
            <w:u w:val="single"/>
          </w:rPr>
          <w:t xml:space="preserve"> v. United States</w:t>
        </w:r>
        <w:r w:rsidRPr="00DD36B3">
          <w:rPr>
            <w:rFonts w:ascii="Times New Roman" w:eastAsia="Times New Roman" w:hAnsi="Times New Roman" w:cs="Times New Roman"/>
            <w:color w:val="0000FF"/>
            <w:sz w:val="24"/>
            <w:szCs w:val="24"/>
            <w:u w:val="single"/>
          </w:rPr>
          <w:t xml:space="preserve">, 500 U.S. 160, 165, 111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1752, 114 L.Ed.2d 219 (1991)</w:t>
        </w:r>
      </w:hyperlink>
      <w:r w:rsidRPr="00DD36B3">
        <w:rPr>
          <w:rFonts w:ascii="Times New Roman" w:eastAsia="Times New Roman" w:hAnsi="Times New Roman" w:cs="Times New Roman"/>
          <w:sz w:val="24"/>
          <w:szCs w:val="24"/>
        </w:rPr>
        <w:t>.</w:t>
      </w:r>
    </w:p>
    <w:p w14:paraId="200EB741" w14:textId="77777777" w:rsidR="00DD36B3" w:rsidRDefault="00DD36B3" w:rsidP="00DD36B3">
      <w:pPr>
        <w:spacing w:after="0" w:line="240" w:lineRule="auto"/>
        <w:rPr>
          <w:rFonts w:ascii="Times New Roman" w:eastAsia="Times New Roman" w:hAnsi="Times New Roman" w:cs="Times New Roman"/>
          <w:sz w:val="24"/>
          <w:szCs w:val="24"/>
        </w:rPr>
      </w:pPr>
      <w:hyperlink r:id="rId37" w:anchor="co_anchor_F52051336180" w:history="1">
        <w:r w:rsidRPr="00DD36B3">
          <w:rPr>
            <w:rFonts w:ascii="Times New Roman" w:eastAsia="Times New Roman" w:hAnsi="Times New Roman" w:cs="Times New Roman"/>
            <w:color w:val="0000FF"/>
            <w:sz w:val="24"/>
            <w:szCs w:val="24"/>
            <w:u w:val="single"/>
          </w:rPr>
          <w:t>5</w:t>
        </w:r>
      </w:hyperlink>
      <w:hyperlink r:id="rId38" w:anchor="co_anchor_F62051336180" w:history="1">
        <w:r w:rsidRPr="00DD36B3">
          <w:rPr>
            <w:rFonts w:ascii="Times New Roman" w:eastAsia="Times New Roman" w:hAnsi="Times New Roman" w:cs="Times New Roman"/>
            <w:color w:val="0000FF"/>
            <w:sz w:val="24"/>
            <w:szCs w:val="24"/>
            <w:u w:val="single"/>
          </w:rPr>
          <w:t>6</w:t>
        </w:r>
      </w:hyperlink>
      <w:r w:rsidRPr="00DD36B3">
        <w:rPr>
          <w:rFonts w:ascii="Times New Roman" w:eastAsia="Times New Roman" w:hAnsi="Times New Roman" w:cs="Times New Roman"/>
          <w:sz w:val="24"/>
          <w:szCs w:val="24"/>
        </w:rPr>
        <w:t>But that seemingly inflexible constitutional text has long been recognized to be somewhat pliable.</w:t>
      </w:r>
      <w:hyperlink r:id="rId39" w:anchor="co_footnote_B00142051336180" w:history="1">
        <w:r w:rsidRPr="00DD36B3">
          <w:rPr>
            <w:rFonts w:ascii="Times New Roman" w:eastAsia="Times New Roman" w:hAnsi="Times New Roman" w:cs="Times New Roman"/>
            <w:color w:val="0000FF"/>
            <w:sz w:val="24"/>
            <w:szCs w:val="24"/>
            <w:u w:val="single"/>
            <w:vertAlign w:val="superscript"/>
          </w:rPr>
          <w:t>14</w:t>
        </w:r>
      </w:hyperlink>
      <w:r w:rsidRPr="00DD36B3">
        <w:rPr>
          <w:rFonts w:ascii="Times New Roman" w:eastAsia="Times New Roman" w:hAnsi="Times New Roman" w:cs="Times New Roman"/>
          <w:sz w:val="24"/>
          <w:szCs w:val="24"/>
        </w:rPr>
        <w:t xml:space="preserve"> </w:t>
      </w:r>
    </w:p>
    <w:p w14:paraId="1F969FB6"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40" w:anchor="co_fnRef_B00142051336180_ID0ERDBG" w:history="1">
        <w:r w:rsidRPr="001C511A">
          <w:rPr>
            <w:rFonts w:ascii="Times New Roman" w:eastAsia="Times New Roman" w:hAnsi="Times New Roman" w:cs="Times New Roman"/>
            <w:color w:val="0000FF"/>
            <w:sz w:val="24"/>
            <w:szCs w:val="24"/>
            <w:u w:val="single"/>
          </w:rPr>
          <w:t>14</w:t>
        </w:r>
      </w:hyperlink>
    </w:p>
    <w:p w14:paraId="7079B925" w14:textId="77777777" w:rsidR="001C511A" w:rsidRPr="001C511A" w:rsidRDefault="001C511A" w:rsidP="001C511A">
      <w:pPr>
        <w:spacing w:after="0" w:line="240" w:lineRule="auto"/>
        <w:rPr>
          <w:rFonts w:ascii="Times New Roman" w:eastAsia="Times New Roman" w:hAnsi="Times New Roman" w:cs="Times New Roman"/>
          <w:sz w:val="24"/>
          <w:szCs w:val="24"/>
        </w:rPr>
      </w:pPr>
      <w:r w:rsidRPr="001C511A">
        <w:rPr>
          <w:rFonts w:ascii="Times New Roman" w:eastAsia="Times New Roman" w:hAnsi="Times New Roman" w:cs="Times New Roman"/>
          <w:i/>
          <w:iCs/>
          <w:sz w:val="24"/>
          <w:szCs w:val="24"/>
        </w:rPr>
        <w:t>See</w:t>
      </w:r>
      <w:r w:rsidRPr="001C511A">
        <w:rPr>
          <w:rFonts w:ascii="Times New Roman" w:eastAsia="Times New Roman" w:hAnsi="Times New Roman" w:cs="Times New Roman"/>
          <w:sz w:val="24"/>
          <w:szCs w:val="24"/>
        </w:rPr>
        <w:t xml:space="preserve"> </w:t>
      </w:r>
      <w:hyperlink r:id="rId41" w:anchor="co_pp_sp_780_758" w:history="1">
        <w:r w:rsidRPr="001C511A">
          <w:rPr>
            <w:rFonts w:ascii="Times New Roman" w:eastAsia="Times New Roman" w:hAnsi="Times New Roman" w:cs="Times New Roman"/>
            <w:i/>
            <w:iCs/>
            <w:color w:val="0000FF"/>
            <w:sz w:val="24"/>
            <w:szCs w:val="24"/>
            <w:u w:val="single"/>
          </w:rPr>
          <w:t>Loving</w:t>
        </w:r>
        <w:r w:rsidRPr="001C511A">
          <w:rPr>
            <w:rFonts w:ascii="Times New Roman" w:eastAsia="Times New Roman" w:hAnsi="Times New Roman" w:cs="Times New Roman"/>
            <w:color w:val="0000FF"/>
            <w:sz w:val="24"/>
            <w:szCs w:val="24"/>
            <w:u w:val="single"/>
          </w:rPr>
          <w:t xml:space="preserve">, 517 U.S. at 758, 116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1737</w:t>
        </w:r>
      </w:hyperlink>
      <w:r w:rsidRPr="001C511A">
        <w:rPr>
          <w:rFonts w:ascii="Times New Roman" w:eastAsia="Times New Roman" w:hAnsi="Times New Roman" w:cs="Times New Roman"/>
          <w:sz w:val="24"/>
          <w:szCs w:val="24"/>
        </w:rPr>
        <w:t xml:space="preserve"> (“Th[e] [nondelegation] principle does not mean, however, that only Congress can make a rule of prospective force. To burden Congress with all federal rulemaking would divert that branch from more pressing issues, and defeat the Framers’ design of a workable National Government.”); </w:t>
      </w:r>
      <w:hyperlink r:id="rId42" w:anchor="co_pp_sp_780_372" w:history="1">
        <w:proofErr w:type="spellStart"/>
        <w:r w:rsidRPr="001C511A">
          <w:rPr>
            <w:rFonts w:ascii="Times New Roman" w:eastAsia="Times New Roman" w:hAnsi="Times New Roman" w:cs="Times New Roman"/>
            <w:i/>
            <w:iCs/>
            <w:color w:val="0000FF"/>
            <w:sz w:val="24"/>
            <w:szCs w:val="24"/>
            <w:u w:val="single"/>
          </w:rPr>
          <w:t>Mistretta</w:t>
        </w:r>
        <w:proofErr w:type="spellEnd"/>
        <w:r w:rsidRPr="001C511A">
          <w:rPr>
            <w:rFonts w:ascii="Times New Roman" w:eastAsia="Times New Roman" w:hAnsi="Times New Roman" w:cs="Times New Roman"/>
            <w:color w:val="0000FF"/>
            <w:sz w:val="24"/>
            <w:szCs w:val="24"/>
            <w:u w:val="single"/>
          </w:rPr>
          <w:t xml:space="preserve">, 488 U.S. at 372, 109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647</w:t>
        </w:r>
      </w:hyperlink>
      <w:r w:rsidRPr="001C511A">
        <w:rPr>
          <w:rFonts w:ascii="Times New Roman" w:eastAsia="Times New Roman" w:hAnsi="Times New Roman" w:cs="Times New Roman"/>
          <w:sz w:val="24"/>
          <w:szCs w:val="24"/>
        </w:rPr>
        <w:t xml:space="preserve"> (“[O]</w:t>
      </w:r>
      <w:proofErr w:type="spellStart"/>
      <w:r w:rsidRPr="001C511A">
        <w:rPr>
          <w:rFonts w:ascii="Times New Roman" w:eastAsia="Times New Roman" w:hAnsi="Times New Roman" w:cs="Times New Roman"/>
          <w:sz w:val="24"/>
          <w:szCs w:val="24"/>
        </w:rPr>
        <w:t>ur</w:t>
      </w:r>
      <w:proofErr w:type="spellEnd"/>
      <w:r w:rsidRPr="001C511A">
        <w:rPr>
          <w:rFonts w:ascii="Times New Roman" w:eastAsia="Times New Roman" w:hAnsi="Times New Roman" w:cs="Times New Roman"/>
          <w:sz w:val="24"/>
          <w:szCs w:val="24"/>
        </w:rPr>
        <w:t xml:space="preserve"> jurisprudence has been driven by a practical understanding that in our increasingly complex society, replete with ever changing and more technical problems, Congress simply cannot do its job absent an ability to delegate power under broad general directives.”).</w:t>
      </w:r>
    </w:p>
    <w:p w14:paraId="5994954B" w14:textId="77777777" w:rsidR="00DD36B3" w:rsidRDefault="00DD36B3" w:rsidP="00DD36B3">
      <w:pPr>
        <w:spacing w:after="0" w:line="240" w:lineRule="auto"/>
        <w:rPr>
          <w:rFonts w:ascii="Times New Roman" w:eastAsia="Times New Roman" w:hAnsi="Times New Roman" w:cs="Times New Roman"/>
          <w:sz w:val="24"/>
          <w:szCs w:val="24"/>
        </w:rPr>
      </w:pPr>
    </w:p>
    <w:p w14:paraId="5BC1F077" w14:textId="6F98F24E"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lastRenderedPageBreak/>
        <w:t xml:space="preserve">“The Constitution has never been regarded as denying to the Congress the necessary resources of flexibility and practicality to perform its function.” </w:t>
      </w:r>
      <w:hyperlink r:id="rId43" w:anchor="co_pp_sp_780_425" w:history="1">
        <w:proofErr w:type="spellStart"/>
        <w:r w:rsidRPr="00DD36B3">
          <w:rPr>
            <w:rFonts w:ascii="Times New Roman" w:eastAsia="Times New Roman" w:hAnsi="Times New Roman" w:cs="Times New Roman"/>
            <w:i/>
            <w:iCs/>
            <w:color w:val="0000FF"/>
            <w:sz w:val="24"/>
            <w:szCs w:val="24"/>
            <w:u w:val="single"/>
          </w:rPr>
          <w:t>Yakus</w:t>
        </w:r>
        <w:proofErr w:type="spellEnd"/>
        <w:r w:rsidRPr="00DD36B3">
          <w:rPr>
            <w:rFonts w:ascii="Times New Roman" w:eastAsia="Times New Roman" w:hAnsi="Times New Roman" w:cs="Times New Roman"/>
            <w:i/>
            <w:iCs/>
            <w:color w:val="0000FF"/>
            <w:sz w:val="24"/>
            <w:szCs w:val="24"/>
            <w:u w:val="single"/>
          </w:rPr>
          <w:t xml:space="preserve"> v. United States</w:t>
        </w:r>
        <w:r w:rsidRPr="00DD36B3">
          <w:rPr>
            <w:rFonts w:ascii="Times New Roman" w:eastAsia="Times New Roman" w:hAnsi="Times New Roman" w:cs="Times New Roman"/>
            <w:color w:val="0000FF"/>
            <w:sz w:val="24"/>
            <w:szCs w:val="24"/>
            <w:u w:val="single"/>
          </w:rPr>
          <w:t xml:space="preserve">, 321 U.S. 414, 425, 64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660, 88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834 (1944)</w:t>
        </w:r>
      </w:hyperlink>
      <w:r w:rsidRPr="00DD36B3">
        <w:rPr>
          <w:rFonts w:ascii="Times New Roman" w:eastAsia="Times New Roman" w:hAnsi="Times New Roman" w:cs="Times New Roman"/>
          <w:sz w:val="24"/>
          <w:szCs w:val="24"/>
        </w:rPr>
        <w:t xml:space="preserve"> (ellipsis omitted). Delegations are constitutional so long as Congress “lay[s] down by legislative act an intelligible principle to which the person or body authorized [to exercise the authority] is directed to conform.” *442 </w:t>
      </w:r>
      <w:hyperlink r:id="rId44" w:anchor="co_pp_sp_780_409" w:history="1">
        <w:r w:rsidRPr="00DD36B3">
          <w:rPr>
            <w:rFonts w:ascii="Times New Roman" w:eastAsia="Times New Roman" w:hAnsi="Times New Roman" w:cs="Times New Roman"/>
            <w:i/>
            <w:iCs/>
            <w:color w:val="0000FF"/>
            <w:sz w:val="24"/>
            <w:szCs w:val="24"/>
            <w:u w:val="single"/>
          </w:rPr>
          <w:t>J.W. Hampton, Jr., &amp; Co. v. United States</w:t>
        </w:r>
        <w:r w:rsidRPr="00DD36B3">
          <w:rPr>
            <w:rFonts w:ascii="Times New Roman" w:eastAsia="Times New Roman" w:hAnsi="Times New Roman" w:cs="Times New Roman"/>
            <w:color w:val="0000FF"/>
            <w:sz w:val="24"/>
            <w:szCs w:val="24"/>
            <w:u w:val="single"/>
          </w:rPr>
          <w:t xml:space="preserve">, 276 U.S. 394, 409, 48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348, 72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624 (1928)</w:t>
        </w:r>
      </w:hyperlink>
      <w:r w:rsidRPr="00DD36B3">
        <w:rPr>
          <w:rFonts w:ascii="Times New Roman" w:eastAsia="Times New Roman" w:hAnsi="Times New Roman" w:cs="Times New Roman"/>
          <w:sz w:val="24"/>
          <w:szCs w:val="24"/>
        </w:rPr>
        <w:t xml:space="preserve">. It is “constitutionally sufficient if Congress clearly delineates the general policy, the public agency which is to apply it, and the boundaries of </w:t>
      </w:r>
      <w:proofErr w:type="spellStart"/>
      <w:r w:rsidRPr="00DD36B3">
        <w:rPr>
          <w:rFonts w:ascii="Times New Roman" w:eastAsia="Times New Roman" w:hAnsi="Times New Roman" w:cs="Times New Roman"/>
          <w:sz w:val="24"/>
          <w:szCs w:val="24"/>
        </w:rPr>
        <w:t>th</w:t>
      </w:r>
      <w:proofErr w:type="spellEnd"/>
      <w:r w:rsidRPr="00DD36B3">
        <w:rPr>
          <w:rFonts w:ascii="Times New Roman" w:eastAsia="Times New Roman" w:hAnsi="Times New Roman" w:cs="Times New Roman"/>
          <w:sz w:val="24"/>
          <w:szCs w:val="24"/>
        </w:rPr>
        <w:t xml:space="preserve">[e] delegated authority.” </w:t>
      </w:r>
      <w:hyperlink r:id="rId45" w:anchor="co_pp_sp_780_105" w:history="1">
        <w:r w:rsidRPr="00DD36B3">
          <w:rPr>
            <w:rFonts w:ascii="Times New Roman" w:eastAsia="Times New Roman" w:hAnsi="Times New Roman" w:cs="Times New Roman"/>
            <w:i/>
            <w:iCs/>
            <w:color w:val="0000FF"/>
            <w:sz w:val="24"/>
            <w:szCs w:val="24"/>
            <w:u w:val="single"/>
          </w:rPr>
          <w:t>Am. Power &amp; Light Co. v. SEC</w:t>
        </w:r>
        <w:r w:rsidRPr="00DD36B3">
          <w:rPr>
            <w:rFonts w:ascii="Times New Roman" w:eastAsia="Times New Roman" w:hAnsi="Times New Roman" w:cs="Times New Roman"/>
            <w:color w:val="0000FF"/>
            <w:sz w:val="24"/>
            <w:szCs w:val="24"/>
            <w:u w:val="single"/>
          </w:rPr>
          <w:t xml:space="preserve">, 329 U.S. 90, 105, 67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133, 91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103 (1946)</w:t>
        </w:r>
      </w:hyperlink>
      <w:r w:rsidRPr="00DD36B3">
        <w:rPr>
          <w:rFonts w:ascii="Times New Roman" w:eastAsia="Times New Roman" w:hAnsi="Times New Roman" w:cs="Times New Roman"/>
          <w:sz w:val="24"/>
          <w:szCs w:val="24"/>
        </w:rPr>
        <w:t>.</w:t>
      </w:r>
    </w:p>
    <w:p w14:paraId="6266D13F" w14:textId="77777777" w:rsidR="001C511A" w:rsidRDefault="00DD36B3" w:rsidP="00DD36B3">
      <w:pPr>
        <w:spacing w:after="0" w:line="240" w:lineRule="auto"/>
        <w:rPr>
          <w:rFonts w:ascii="Times New Roman" w:eastAsia="Times New Roman" w:hAnsi="Times New Roman" w:cs="Times New Roman"/>
          <w:sz w:val="24"/>
          <w:szCs w:val="24"/>
          <w:vertAlign w:val="superscript"/>
        </w:rPr>
      </w:pPr>
      <w:r w:rsidRPr="00DD36B3">
        <w:rPr>
          <w:rFonts w:ascii="Times New Roman" w:eastAsia="Times New Roman" w:hAnsi="Times New Roman" w:cs="Times New Roman"/>
          <w:sz w:val="24"/>
          <w:szCs w:val="24"/>
        </w:rPr>
        <w:t>“Those standards ... are not demanding.”</w:t>
      </w:r>
      <w:hyperlink r:id="rId46" w:anchor="co_footnote_B00152051336180" w:history="1">
        <w:r w:rsidRPr="00DD36B3">
          <w:rPr>
            <w:rFonts w:ascii="Times New Roman" w:eastAsia="Times New Roman" w:hAnsi="Times New Roman" w:cs="Times New Roman"/>
            <w:color w:val="0000FF"/>
            <w:sz w:val="24"/>
            <w:szCs w:val="24"/>
            <w:u w:val="single"/>
            <w:vertAlign w:val="superscript"/>
          </w:rPr>
          <w:t>15</w:t>
        </w:r>
      </w:hyperlink>
    </w:p>
    <w:p w14:paraId="34BE7EF0"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47" w:anchor="co_fnRef_B00152051336180_ID0EWIBG" w:history="1">
        <w:r w:rsidRPr="001C511A">
          <w:rPr>
            <w:rFonts w:ascii="Times New Roman" w:eastAsia="Times New Roman" w:hAnsi="Times New Roman" w:cs="Times New Roman"/>
            <w:color w:val="0000FF"/>
            <w:sz w:val="24"/>
            <w:szCs w:val="24"/>
            <w:u w:val="single"/>
          </w:rPr>
          <w:t>15</w:t>
        </w:r>
      </w:hyperlink>
    </w:p>
    <w:p w14:paraId="0B1892AF"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48" w:anchor="co_pp_sp_708_2129" w:history="1">
        <w:r w:rsidRPr="001C511A">
          <w:rPr>
            <w:rFonts w:ascii="Times New Roman" w:eastAsia="Times New Roman" w:hAnsi="Times New Roman" w:cs="Times New Roman"/>
            <w:i/>
            <w:iCs/>
            <w:color w:val="0000FF"/>
            <w:sz w:val="24"/>
            <w:szCs w:val="24"/>
            <w:u w:val="single"/>
          </w:rPr>
          <w:t>Gundy</w:t>
        </w:r>
        <w:r w:rsidRPr="001C511A">
          <w:rPr>
            <w:rFonts w:ascii="Times New Roman" w:eastAsia="Times New Roman" w:hAnsi="Times New Roman" w:cs="Times New Roman"/>
            <w:color w:val="0000FF"/>
            <w:sz w:val="24"/>
            <w:szCs w:val="24"/>
            <w:u w:val="single"/>
          </w:rPr>
          <w:t>, 139 S. Ct. at 2129</w:t>
        </w:r>
      </w:hyperlink>
      <w:r w:rsidRPr="001C511A">
        <w:rPr>
          <w:rFonts w:ascii="Times New Roman" w:eastAsia="Times New Roman" w:hAnsi="Times New Roman" w:cs="Times New Roman"/>
          <w:sz w:val="24"/>
          <w:szCs w:val="24"/>
        </w:rPr>
        <w:t xml:space="preserve"> (plurality). Some have suggested that the Court's intelligible-</w:t>
      </w:r>
      <w:proofErr w:type="gramStart"/>
      <w:r w:rsidRPr="001C511A">
        <w:rPr>
          <w:rFonts w:ascii="Times New Roman" w:eastAsia="Times New Roman" w:hAnsi="Times New Roman" w:cs="Times New Roman"/>
          <w:sz w:val="24"/>
          <w:szCs w:val="24"/>
        </w:rPr>
        <w:t>principle</w:t>
      </w:r>
      <w:proofErr w:type="gramEnd"/>
      <w:r w:rsidRPr="001C511A">
        <w:rPr>
          <w:rFonts w:ascii="Times New Roman" w:eastAsia="Times New Roman" w:hAnsi="Times New Roman" w:cs="Times New Roman"/>
          <w:sz w:val="24"/>
          <w:szCs w:val="24"/>
        </w:rPr>
        <w:t xml:space="preserve"> standard is really no hurdle at all. </w:t>
      </w:r>
      <w:r w:rsidRPr="001C511A">
        <w:rPr>
          <w:rFonts w:ascii="Times New Roman" w:eastAsia="Times New Roman" w:hAnsi="Times New Roman" w:cs="Times New Roman"/>
          <w:i/>
          <w:iCs/>
          <w:sz w:val="24"/>
          <w:szCs w:val="24"/>
        </w:rPr>
        <w:t>See, e.g.</w:t>
      </w:r>
      <w:r w:rsidRPr="001C511A">
        <w:rPr>
          <w:rFonts w:ascii="Times New Roman" w:eastAsia="Times New Roman" w:hAnsi="Times New Roman" w:cs="Times New Roman"/>
          <w:sz w:val="24"/>
          <w:szCs w:val="24"/>
        </w:rPr>
        <w:t xml:space="preserve">, </w:t>
      </w:r>
      <w:hyperlink r:id="rId49" w:anchor="co_pp_sp_708_2140" w:history="1">
        <w:r w:rsidRPr="001C511A">
          <w:rPr>
            <w:rFonts w:ascii="Times New Roman" w:eastAsia="Times New Roman" w:hAnsi="Times New Roman" w:cs="Times New Roman"/>
            <w:i/>
            <w:iCs/>
            <w:color w:val="0000FF"/>
            <w:sz w:val="24"/>
            <w:szCs w:val="24"/>
            <w:u w:val="single"/>
          </w:rPr>
          <w:t>id</w:t>
        </w:r>
        <w:r w:rsidRPr="001C511A">
          <w:rPr>
            <w:rFonts w:ascii="Times New Roman" w:eastAsia="Times New Roman" w:hAnsi="Times New Roman" w:cs="Times New Roman"/>
            <w:color w:val="0000FF"/>
            <w:sz w:val="24"/>
            <w:szCs w:val="24"/>
            <w:u w:val="single"/>
          </w:rPr>
          <w:t>. at 2140</w:t>
        </w:r>
      </w:hyperlink>
      <w:r w:rsidRPr="001C511A">
        <w:rPr>
          <w:rFonts w:ascii="Times New Roman" w:eastAsia="Times New Roman" w:hAnsi="Times New Roman" w:cs="Times New Roman"/>
          <w:sz w:val="24"/>
          <w:szCs w:val="24"/>
        </w:rPr>
        <w:t xml:space="preserve"> (Gorsuch, J., dissenting) (“[The intelligible-</w:t>
      </w:r>
      <w:proofErr w:type="gramStart"/>
      <w:r w:rsidRPr="001C511A">
        <w:rPr>
          <w:rFonts w:ascii="Times New Roman" w:eastAsia="Times New Roman" w:hAnsi="Times New Roman" w:cs="Times New Roman"/>
          <w:sz w:val="24"/>
          <w:szCs w:val="24"/>
        </w:rPr>
        <w:t>principle</w:t>
      </w:r>
      <w:proofErr w:type="gramEnd"/>
      <w:r w:rsidRPr="001C511A">
        <w:rPr>
          <w:rFonts w:ascii="Times New Roman" w:eastAsia="Times New Roman" w:hAnsi="Times New Roman" w:cs="Times New Roman"/>
          <w:sz w:val="24"/>
          <w:szCs w:val="24"/>
        </w:rPr>
        <w:t xml:space="preserve"> standard] has been abused to permit delegations of legislative power that on any other conceivable account should be held unconstitutional. Indeed, where some have claimed to see ‘intelligible principles’ many </w:t>
      </w:r>
      <w:proofErr w:type="gramStart"/>
      <w:r w:rsidRPr="001C511A">
        <w:rPr>
          <w:rFonts w:ascii="Times New Roman" w:eastAsia="Times New Roman" w:hAnsi="Times New Roman" w:cs="Times New Roman"/>
          <w:sz w:val="24"/>
          <w:szCs w:val="24"/>
        </w:rPr>
        <w:t>less</w:t>
      </w:r>
      <w:proofErr w:type="gramEnd"/>
      <w:r w:rsidRPr="001C511A">
        <w:rPr>
          <w:rFonts w:ascii="Times New Roman" w:eastAsia="Times New Roman" w:hAnsi="Times New Roman" w:cs="Times New Roman"/>
          <w:sz w:val="24"/>
          <w:szCs w:val="24"/>
        </w:rPr>
        <w:t xml:space="preserve"> discerning readers have been able only to find gibberish.” (cleaned up)); Gary Lawson, </w:t>
      </w:r>
      <w:hyperlink r:id="rId50" w:anchor="co_pp_sp_1359_329" w:history="1">
        <w:r w:rsidRPr="001C511A">
          <w:rPr>
            <w:rFonts w:ascii="Times New Roman" w:eastAsia="Times New Roman" w:hAnsi="Times New Roman" w:cs="Times New Roman"/>
            <w:i/>
            <w:iCs/>
            <w:color w:val="0000FF"/>
            <w:sz w:val="24"/>
            <w:szCs w:val="24"/>
            <w:u w:val="single"/>
          </w:rPr>
          <w:t>Delegation and Original Meaning</w:t>
        </w:r>
        <w:r w:rsidRPr="001C511A">
          <w:rPr>
            <w:rFonts w:ascii="Times New Roman" w:eastAsia="Times New Roman" w:hAnsi="Times New Roman" w:cs="Times New Roman"/>
            <w:color w:val="0000FF"/>
            <w:sz w:val="24"/>
            <w:szCs w:val="24"/>
            <w:u w:val="single"/>
          </w:rPr>
          <w:t>, 88 Va. L. Rev. 327, 329 (2002)</w:t>
        </w:r>
      </w:hyperlink>
      <w:r w:rsidRPr="001C511A">
        <w:rPr>
          <w:rFonts w:ascii="Times New Roman" w:eastAsia="Times New Roman" w:hAnsi="Times New Roman" w:cs="Times New Roman"/>
          <w:sz w:val="24"/>
          <w:szCs w:val="24"/>
        </w:rPr>
        <w:t xml:space="preserve"> (“[I]n </w:t>
      </w:r>
      <w:hyperlink r:id="rId51" w:history="1">
        <w:proofErr w:type="spellStart"/>
        <w:r w:rsidRPr="001C511A">
          <w:rPr>
            <w:rFonts w:ascii="Times New Roman" w:eastAsia="Times New Roman" w:hAnsi="Times New Roman" w:cs="Times New Roman"/>
            <w:i/>
            <w:iCs/>
            <w:color w:val="0000FF"/>
            <w:sz w:val="24"/>
            <w:szCs w:val="24"/>
            <w:u w:val="single"/>
          </w:rPr>
          <w:t>Mistretta</w:t>
        </w:r>
        <w:proofErr w:type="spellEnd"/>
      </w:hyperlink>
      <w:r w:rsidRPr="001C511A">
        <w:rPr>
          <w:rFonts w:ascii="Times New Roman" w:eastAsia="Times New Roman" w:hAnsi="Times New Roman" w:cs="Times New Roman"/>
          <w:sz w:val="24"/>
          <w:szCs w:val="24"/>
        </w:rPr>
        <w:t xml:space="preserve"> </w:t>
      </w:r>
      <w:r w:rsidRPr="001C511A">
        <w:rPr>
          <w:rFonts w:ascii="Times New Roman" w:eastAsia="Times New Roman" w:hAnsi="Times New Roman" w:cs="Times New Roman"/>
          <w:i/>
          <w:iCs/>
          <w:sz w:val="24"/>
          <w:szCs w:val="24"/>
        </w:rPr>
        <w:t>...</w:t>
      </w:r>
      <w:r w:rsidRPr="001C511A">
        <w:rPr>
          <w:rFonts w:ascii="Times New Roman" w:eastAsia="Times New Roman" w:hAnsi="Times New Roman" w:cs="Times New Roman"/>
          <w:sz w:val="24"/>
          <w:szCs w:val="24"/>
        </w:rPr>
        <w:t xml:space="preserve"> the Court aptly summarized more than half a century of case law by unanimously declaring the nondelegation doctrine to be effectively a dead letter.”); David </w:t>
      </w:r>
      <w:proofErr w:type="spellStart"/>
      <w:r w:rsidRPr="001C511A">
        <w:rPr>
          <w:rFonts w:ascii="Times New Roman" w:eastAsia="Times New Roman" w:hAnsi="Times New Roman" w:cs="Times New Roman"/>
          <w:sz w:val="24"/>
          <w:szCs w:val="24"/>
        </w:rPr>
        <w:t>Schoenbrod</w:t>
      </w:r>
      <w:proofErr w:type="spellEnd"/>
      <w:r w:rsidRPr="001C511A">
        <w:rPr>
          <w:rFonts w:ascii="Times New Roman" w:eastAsia="Times New Roman" w:hAnsi="Times New Roman" w:cs="Times New Roman"/>
          <w:sz w:val="24"/>
          <w:szCs w:val="24"/>
        </w:rPr>
        <w:t xml:space="preserve">, </w:t>
      </w:r>
      <w:hyperlink r:id="rId52" w:anchor="co_pp_sp_1192_1231" w:history="1">
        <w:r w:rsidRPr="001C511A">
          <w:rPr>
            <w:rFonts w:ascii="Times New Roman" w:eastAsia="Times New Roman" w:hAnsi="Times New Roman" w:cs="Times New Roman"/>
            <w:i/>
            <w:iCs/>
            <w:color w:val="0000FF"/>
            <w:sz w:val="24"/>
            <w:szCs w:val="24"/>
            <w:u w:val="single"/>
          </w:rPr>
          <w:t>The Delegation Doctrine: Could the Court Give It Substance?</w:t>
        </w:r>
        <w:r w:rsidRPr="001C511A">
          <w:rPr>
            <w:rFonts w:ascii="Times New Roman" w:eastAsia="Times New Roman" w:hAnsi="Times New Roman" w:cs="Times New Roman"/>
            <w:color w:val="0000FF"/>
            <w:sz w:val="24"/>
            <w:szCs w:val="24"/>
            <w:u w:val="single"/>
          </w:rPr>
          <w:t>, 83 Mich. L. Rev. 1223, 1231 (1985)</w:t>
        </w:r>
      </w:hyperlink>
      <w:r w:rsidRPr="001C511A">
        <w:rPr>
          <w:rFonts w:ascii="Times New Roman" w:eastAsia="Times New Roman" w:hAnsi="Times New Roman" w:cs="Times New Roman"/>
          <w:sz w:val="24"/>
          <w:szCs w:val="24"/>
        </w:rPr>
        <w:t xml:space="preserve"> (“The [intelligible-principle] test has become so ephemeral and elastic as to lose its meaning.”).</w:t>
      </w:r>
    </w:p>
    <w:p w14:paraId="5CB1BBD1" w14:textId="77777777" w:rsidR="001C511A" w:rsidRDefault="001C511A" w:rsidP="00DD36B3">
      <w:pPr>
        <w:spacing w:after="0" w:line="240" w:lineRule="auto"/>
        <w:rPr>
          <w:rFonts w:ascii="Times New Roman" w:eastAsia="Times New Roman" w:hAnsi="Times New Roman" w:cs="Times New Roman"/>
          <w:sz w:val="24"/>
          <w:szCs w:val="24"/>
          <w:vertAlign w:val="superscript"/>
        </w:rPr>
      </w:pPr>
    </w:p>
    <w:p w14:paraId="08E84EB7" w14:textId="53207AFA" w:rsidR="001C511A" w:rsidRDefault="00DD36B3" w:rsidP="00DD36B3">
      <w:pPr>
        <w:spacing w:after="0" w:line="240" w:lineRule="auto"/>
        <w:rPr>
          <w:rFonts w:ascii="Times New Roman" w:eastAsia="Times New Roman" w:hAnsi="Times New Roman" w:cs="Times New Roman"/>
          <w:sz w:val="24"/>
          <w:szCs w:val="24"/>
          <w:vertAlign w:val="superscript"/>
        </w:rPr>
      </w:pPr>
      <w:r w:rsidRPr="00DD36B3">
        <w:rPr>
          <w:rFonts w:ascii="Times New Roman" w:eastAsia="Times New Roman" w:hAnsi="Times New Roman" w:cs="Times New Roman"/>
          <w:sz w:val="24"/>
          <w:szCs w:val="24"/>
        </w:rPr>
        <w:t xml:space="preserve"> Even though Congress has delegated power to the President “[f]</w:t>
      </w:r>
      <w:proofErr w:type="spellStart"/>
      <w:r w:rsidRPr="00DD36B3">
        <w:rPr>
          <w:rFonts w:ascii="Times New Roman" w:eastAsia="Times New Roman" w:hAnsi="Times New Roman" w:cs="Times New Roman"/>
          <w:sz w:val="24"/>
          <w:szCs w:val="24"/>
        </w:rPr>
        <w:t>rom</w:t>
      </w:r>
      <w:proofErr w:type="spellEnd"/>
      <w:r w:rsidRPr="00DD36B3">
        <w:rPr>
          <w:rFonts w:ascii="Times New Roman" w:eastAsia="Times New Roman" w:hAnsi="Times New Roman" w:cs="Times New Roman"/>
          <w:sz w:val="24"/>
          <w:szCs w:val="24"/>
        </w:rPr>
        <w:t xml:space="preserve"> the beginning of the government,”</w:t>
      </w:r>
      <w:hyperlink r:id="rId53" w:anchor="co_footnote_B00162051336180" w:history="1">
        <w:r w:rsidRPr="00DD36B3">
          <w:rPr>
            <w:rFonts w:ascii="Times New Roman" w:eastAsia="Times New Roman" w:hAnsi="Times New Roman" w:cs="Times New Roman"/>
            <w:color w:val="0000FF"/>
            <w:sz w:val="24"/>
            <w:szCs w:val="24"/>
            <w:u w:val="single"/>
            <w:vertAlign w:val="superscript"/>
          </w:rPr>
          <w:t>16</w:t>
        </w:r>
      </w:hyperlink>
    </w:p>
    <w:p w14:paraId="201AA103" w14:textId="0C9D974D" w:rsidR="001C511A" w:rsidRDefault="001C511A" w:rsidP="00DD36B3">
      <w:pPr>
        <w:spacing w:after="0" w:line="240" w:lineRule="auto"/>
        <w:rPr>
          <w:rFonts w:ascii="Times New Roman" w:eastAsia="Times New Roman" w:hAnsi="Times New Roman" w:cs="Times New Roman"/>
          <w:sz w:val="24"/>
          <w:szCs w:val="24"/>
          <w:vertAlign w:val="superscript"/>
        </w:rPr>
      </w:pPr>
      <w:hyperlink r:id="rId54" w:anchor="co_pp_sp_780_517" w:history="1">
        <w:r>
          <w:rPr>
            <w:rStyle w:val="Emphasis"/>
            <w:color w:val="0000FF"/>
            <w:u w:val="single"/>
          </w:rPr>
          <w:t>United States v. Grimaud</w:t>
        </w:r>
        <w:r>
          <w:rPr>
            <w:rStyle w:val="Hyperlink"/>
          </w:rPr>
          <w:t xml:space="preserve">, 220 U.S. 506, 517, 31 </w:t>
        </w:r>
        <w:proofErr w:type="spellStart"/>
        <w:r>
          <w:rPr>
            <w:rStyle w:val="Hyperlink"/>
          </w:rPr>
          <w:t>S.Ct</w:t>
        </w:r>
        <w:proofErr w:type="spellEnd"/>
        <w:r>
          <w:rPr>
            <w:rStyle w:val="Hyperlink"/>
          </w:rPr>
          <w:t xml:space="preserve">. 480, 55 </w:t>
        </w:r>
        <w:proofErr w:type="spellStart"/>
        <w:r>
          <w:rPr>
            <w:rStyle w:val="Hyperlink"/>
          </w:rPr>
          <w:t>L.Ed</w:t>
        </w:r>
        <w:proofErr w:type="spellEnd"/>
        <w:r>
          <w:rPr>
            <w:rStyle w:val="Hyperlink"/>
          </w:rPr>
          <w:t>. 563 (1911)</w:t>
        </w:r>
      </w:hyperlink>
      <w:r>
        <w:t xml:space="preserve">; </w:t>
      </w:r>
      <w:r>
        <w:rPr>
          <w:rStyle w:val="Emphasis"/>
        </w:rPr>
        <w:t>see also</w:t>
      </w:r>
      <w:r>
        <w:t xml:space="preserve"> </w:t>
      </w:r>
      <w:hyperlink r:id="rId55" w:anchor="co_pp_sp_780_41" w:history="1">
        <w:r>
          <w:rPr>
            <w:rStyle w:val="Emphasis"/>
            <w:color w:val="0000FF"/>
            <w:u w:val="single"/>
          </w:rPr>
          <w:t>Wayman v. Southard</w:t>
        </w:r>
        <w:r>
          <w:rPr>
            <w:rStyle w:val="Hyperlink"/>
          </w:rPr>
          <w:t xml:space="preserve">, 23 U.S. (10 Wheat.) 1, 41–47, 6 </w:t>
        </w:r>
        <w:proofErr w:type="spellStart"/>
        <w:r>
          <w:rPr>
            <w:rStyle w:val="Hyperlink"/>
          </w:rPr>
          <w:t>L.Ed</w:t>
        </w:r>
        <w:proofErr w:type="spellEnd"/>
        <w:r>
          <w:rPr>
            <w:rStyle w:val="Hyperlink"/>
          </w:rPr>
          <w:t>. 253 (1825)</w:t>
        </w:r>
      </w:hyperlink>
      <w:r>
        <w:t xml:space="preserve"> (upholding a provision of the Process and Compensation Act of 1792 that permitted federal courts to make rules altering the “forms and modes of proceeding” that Congress had adopted); </w:t>
      </w:r>
      <w:hyperlink r:id="rId56" w:anchor="co_pp_sp_780_383" w:history="1">
        <w:r>
          <w:rPr>
            <w:rStyle w:val="Emphasis"/>
            <w:color w:val="0000FF"/>
            <w:u w:val="single"/>
          </w:rPr>
          <w:t>Cargo of the Brig Aurora v. United States</w:t>
        </w:r>
        <w:r>
          <w:rPr>
            <w:rStyle w:val="Hyperlink"/>
          </w:rPr>
          <w:t xml:space="preserve">, 11 U.S. (7 </w:t>
        </w:r>
        <w:proofErr w:type="spellStart"/>
        <w:r>
          <w:rPr>
            <w:rStyle w:val="Hyperlink"/>
          </w:rPr>
          <w:t>Cranch</w:t>
        </w:r>
        <w:proofErr w:type="spellEnd"/>
        <w:r>
          <w:rPr>
            <w:rStyle w:val="Hyperlink"/>
          </w:rPr>
          <w:t xml:space="preserve">) 382, 383, 3 </w:t>
        </w:r>
        <w:proofErr w:type="spellStart"/>
        <w:r>
          <w:rPr>
            <w:rStyle w:val="Hyperlink"/>
          </w:rPr>
          <w:t>L.Ed</w:t>
        </w:r>
        <w:proofErr w:type="spellEnd"/>
        <w:r>
          <w:rPr>
            <w:rStyle w:val="Hyperlink"/>
          </w:rPr>
          <w:t>. 378 (1813)</w:t>
        </w:r>
      </w:hyperlink>
      <w:r>
        <w:t xml:space="preserve"> (observing that the Non-Intercourse Act of 1809 authorized the President, by proclamation, to revoke or modify portions of the Act if he found certain facts).</w:t>
      </w:r>
    </w:p>
    <w:p w14:paraId="7561A33F" w14:textId="77777777" w:rsidR="001C511A"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 the Court did not find a delegation of legislative power to be unlawful until 1935, when the Court declared two to be unconstitutional. </w:t>
      </w:r>
      <w:r w:rsidRPr="00DD36B3">
        <w:rPr>
          <w:rFonts w:ascii="Times New Roman" w:eastAsia="Times New Roman" w:hAnsi="Times New Roman" w:cs="Times New Roman"/>
          <w:i/>
          <w:iCs/>
          <w:sz w:val="24"/>
          <w:szCs w:val="24"/>
        </w:rPr>
        <w:t>See</w:t>
      </w:r>
      <w:r w:rsidRPr="00DD36B3">
        <w:rPr>
          <w:rFonts w:ascii="Times New Roman" w:eastAsia="Times New Roman" w:hAnsi="Times New Roman" w:cs="Times New Roman"/>
          <w:sz w:val="24"/>
          <w:szCs w:val="24"/>
        </w:rPr>
        <w:t xml:space="preserve"> </w:t>
      </w:r>
      <w:hyperlink r:id="rId57" w:anchor="co_pp_sp_780_433" w:history="1">
        <w:r w:rsidRPr="00DD36B3">
          <w:rPr>
            <w:rFonts w:ascii="Times New Roman" w:eastAsia="Times New Roman" w:hAnsi="Times New Roman" w:cs="Times New Roman"/>
            <w:i/>
            <w:iCs/>
            <w:color w:val="0000FF"/>
            <w:sz w:val="24"/>
            <w:szCs w:val="24"/>
            <w:u w:val="single"/>
          </w:rPr>
          <w:t>Pan. Ref. Co. v. Ryan</w:t>
        </w:r>
        <w:r w:rsidRPr="00DD36B3">
          <w:rPr>
            <w:rFonts w:ascii="Times New Roman" w:eastAsia="Times New Roman" w:hAnsi="Times New Roman" w:cs="Times New Roman"/>
            <w:color w:val="0000FF"/>
            <w:sz w:val="24"/>
            <w:szCs w:val="24"/>
            <w:u w:val="single"/>
          </w:rPr>
          <w:t xml:space="preserve">, 293 U.S. 388, 433,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241, 79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446 (1935)</w:t>
        </w:r>
      </w:hyperlink>
      <w:r w:rsidRPr="00DD36B3">
        <w:rPr>
          <w:rFonts w:ascii="Times New Roman" w:eastAsia="Times New Roman" w:hAnsi="Times New Roman" w:cs="Times New Roman"/>
          <w:sz w:val="24"/>
          <w:szCs w:val="24"/>
        </w:rPr>
        <w:t xml:space="preserve">; </w:t>
      </w:r>
      <w:hyperlink r:id="rId58" w:anchor="co_pp_sp_780_542" w:history="1">
        <w:r w:rsidRPr="00DD36B3">
          <w:rPr>
            <w:rFonts w:ascii="Times New Roman" w:eastAsia="Times New Roman" w:hAnsi="Times New Roman" w:cs="Times New Roman"/>
            <w:i/>
            <w:iCs/>
            <w:color w:val="0000FF"/>
            <w:sz w:val="24"/>
            <w:szCs w:val="24"/>
            <w:u w:val="single"/>
          </w:rPr>
          <w:t>A.L.A. Schechter Poultry Corp. v. United States</w:t>
        </w:r>
        <w:r w:rsidRPr="00DD36B3">
          <w:rPr>
            <w:rFonts w:ascii="Times New Roman" w:eastAsia="Times New Roman" w:hAnsi="Times New Roman" w:cs="Times New Roman"/>
            <w:color w:val="0000FF"/>
            <w:sz w:val="24"/>
            <w:szCs w:val="24"/>
            <w:u w:val="single"/>
          </w:rPr>
          <w:t xml:space="preserve">, 295 U.S. 495, 542,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xml:space="preserve">. 837, 79 </w:t>
        </w:r>
        <w:proofErr w:type="spellStart"/>
        <w:r w:rsidRPr="00DD36B3">
          <w:rPr>
            <w:rFonts w:ascii="Times New Roman" w:eastAsia="Times New Roman" w:hAnsi="Times New Roman" w:cs="Times New Roman"/>
            <w:color w:val="0000FF"/>
            <w:sz w:val="24"/>
            <w:szCs w:val="24"/>
            <w:u w:val="single"/>
          </w:rPr>
          <w:t>L.Ed</w:t>
        </w:r>
        <w:proofErr w:type="spellEnd"/>
        <w:r w:rsidRPr="00DD36B3">
          <w:rPr>
            <w:rFonts w:ascii="Times New Roman" w:eastAsia="Times New Roman" w:hAnsi="Times New Roman" w:cs="Times New Roman"/>
            <w:color w:val="0000FF"/>
            <w:sz w:val="24"/>
            <w:szCs w:val="24"/>
            <w:u w:val="single"/>
          </w:rPr>
          <w:t>. 1570 (1935)</w:t>
        </w:r>
      </w:hyperlink>
      <w:r w:rsidRPr="00DD36B3">
        <w:rPr>
          <w:rFonts w:ascii="Times New Roman" w:eastAsia="Times New Roman" w:hAnsi="Times New Roman" w:cs="Times New Roman"/>
          <w:sz w:val="24"/>
          <w:szCs w:val="24"/>
        </w:rPr>
        <w:t>. But the Court has not done so in the nearly nine decades since</w:t>
      </w:r>
      <w:hyperlink r:id="rId59" w:anchor="co_footnote_B00172051336180" w:history="1">
        <w:r w:rsidRPr="00DD36B3">
          <w:rPr>
            <w:rFonts w:ascii="Times New Roman" w:eastAsia="Times New Roman" w:hAnsi="Times New Roman" w:cs="Times New Roman"/>
            <w:color w:val="0000FF"/>
            <w:sz w:val="24"/>
            <w:szCs w:val="24"/>
            <w:u w:val="single"/>
            <w:vertAlign w:val="superscript"/>
          </w:rPr>
          <w:t>17</w:t>
        </w:r>
      </w:hyperlink>
      <w:r w:rsidRPr="00DD36B3">
        <w:rPr>
          <w:rFonts w:ascii="Times New Roman" w:eastAsia="Times New Roman" w:hAnsi="Times New Roman" w:cs="Times New Roman"/>
          <w:sz w:val="24"/>
          <w:szCs w:val="24"/>
        </w:rPr>
        <w:t xml:space="preserve"> </w:t>
      </w:r>
    </w:p>
    <w:p w14:paraId="030F306E"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60" w:anchor="co_fnRef_B00172051336180_ID0EPKBG" w:history="1">
        <w:r w:rsidRPr="001C511A">
          <w:rPr>
            <w:rFonts w:ascii="Times New Roman" w:eastAsia="Times New Roman" w:hAnsi="Times New Roman" w:cs="Times New Roman"/>
            <w:color w:val="0000FF"/>
            <w:sz w:val="24"/>
            <w:szCs w:val="24"/>
            <w:u w:val="single"/>
          </w:rPr>
          <w:t>17</w:t>
        </w:r>
      </w:hyperlink>
    </w:p>
    <w:p w14:paraId="78C196F7" w14:textId="77777777" w:rsidR="001C511A" w:rsidRPr="001C511A" w:rsidRDefault="001C511A" w:rsidP="001C511A">
      <w:pPr>
        <w:spacing w:after="0" w:line="240" w:lineRule="auto"/>
        <w:rPr>
          <w:rFonts w:ascii="Times New Roman" w:eastAsia="Times New Roman" w:hAnsi="Times New Roman" w:cs="Times New Roman"/>
          <w:sz w:val="24"/>
          <w:szCs w:val="24"/>
        </w:rPr>
      </w:pPr>
      <w:r w:rsidRPr="001C511A">
        <w:rPr>
          <w:rFonts w:ascii="Times New Roman" w:eastAsia="Times New Roman" w:hAnsi="Times New Roman" w:cs="Times New Roman"/>
          <w:sz w:val="24"/>
          <w:szCs w:val="24"/>
        </w:rPr>
        <w:t xml:space="preserve">We also have uniformly upheld Congress's delegations. </w:t>
      </w:r>
      <w:r w:rsidRPr="001C511A">
        <w:rPr>
          <w:rFonts w:ascii="Times New Roman" w:eastAsia="Times New Roman" w:hAnsi="Times New Roman" w:cs="Times New Roman"/>
          <w:i/>
          <w:iCs/>
          <w:sz w:val="24"/>
          <w:szCs w:val="24"/>
        </w:rPr>
        <w:t>See, e.g.</w:t>
      </w:r>
      <w:r w:rsidRPr="001C511A">
        <w:rPr>
          <w:rFonts w:ascii="Times New Roman" w:eastAsia="Times New Roman" w:hAnsi="Times New Roman" w:cs="Times New Roman"/>
          <w:sz w:val="24"/>
          <w:szCs w:val="24"/>
        </w:rPr>
        <w:t xml:space="preserve">, </w:t>
      </w:r>
      <w:hyperlink r:id="rId61" w:anchor="co_pp_sp_506_239" w:history="1">
        <w:r w:rsidRPr="001C511A">
          <w:rPr>
            <w:rFonts w:ascii="Times New Roman" w:eastAsia="Times New Roman" w:hAnsi="Times New Roman" w:cs="Times New Roman"/>
            <w:i/>
            <w:iCs/>
            <w:color w:val="0000FF"/>
            <w:sz w:val="24"/>
            <w:szCs w:val="24"/>
            <w:u w:val="single"/>
          </w:rPr>
          <w:t>United States v. Jones</w:t>
        </w:r>
        <w:r w:rsidRPr="001C511A">
          <w:rPr>
            <w:rFonts w:ascii="Times New Roman" w:eastAsia="Times New Roman" w:hAnsi="Times New Roman" w:cs="Times New Roman"/>
            <w:color w:val="0000FF"/>
            <w:sz w:val="24"/>
            <w:szCs w:val="24"/>
            <w:u w:val="single"/>
          </w:rPr>
          <w:t>, 132 F.3d 232, 239 (5th Cir. 1998)</w:t>
        </w:r>
      </w:hyperlink>
      <w:r w:rsidRPr="001C511A">
        <w:rPr>
          <w:rFonts w:ascii="Times New Roman" w:eastAsia="Times New Roman" w:hAnsi="Times New Roman" w:cs="Times New Roman"/>
          <w:sz w:val="24"/>
          <w:szCs w:val="24"/>
        </w:rPr>
        <w:t xml:space="preserve"> (upholding delegation of authority to the DOJ to “define </w:t>
      </w:r>
      <w:proofErr w:type="spellStart"/>
      <w:r w:rsidRPr="001C511A">
        <w:rPr>
          <w:rFonts w:ascii="Times New Roman" w:eastAsia="Times New Roman" w:hAnsi="Times New Roman" w:cs="Times New Roman"/>
          <w:sz w:val="24"/>
          <w:szCs w:val="24"/>
        </w:rPr>
        <w:t>nonstatutory</w:t>
      </w:r>
      <w:proofErr w:type="spellEnd"/>
      <w:r w:rsidRPr="001C511A">
        <w:rPr>
          <w:rFonts w:ascii="Times New Roman" w:eastAsia="Times New Roman" w:hAnsi="Times New Roman" w:cs="Times New Roman"/>
          <w:sz w:val="24"/>
          <w:szCs w:val="24"/>
        </w:rPr>
        <w:t xml:space="preserve"> aggravating factors” to determine which offenders were “death-eligible” under the Federal Death Penalty Act); </w:t>
      </w:r>
      <w:hyperlink r:id="rId62" w:anchor="co_pp_sp_6538_256" w:history="1">
        <w:r w:rsidRPr="001C511A">
          <w:rPr>
            <w:rFonts w:ascii="Times New Roman" w:eastAsia="Times New Roman" w:hAnsi="Times New Roman" w:cs="Times New Roman"/>
            <w:i/>
            <w:iCs/>
            <w:color w:val="0000FF"/>
            <w:sz w:val="24"/>
            <w:szCs w:val="24"/>
            <w:u w:val="single"/>
          </w:rPr>
          <w:t>United States v. Mirza</w:t>
        </w:r>
        <w:r w:rsidRPr="001C511A">
          <w:rPr>
            <w:rFonts w:ascii="Times New Roman" w:eastAsia="Times New Roman" w:hAnsi="Times New Roman" w:cs="Times New Roman"/>
            <w:color w:val="0000FF"/>
            <w:sz w:val="24"/>
            <w:szCs w:val="24"/>
            <w:u w:val="single"/>
          </w:rPr>
          <w:t xml:space="preserve">, 454 F. </w:t>
        </w:r>
        <w:proofErr w:type="spellStart"/>
        <w:r w:rsidRPr="001C511A">
          <w:rPr>
            <w:rFonts w:ascii="Times New Roman" w:eastAsia="Times New Roman" w:hAnsi="Times New Roman" w:cs="Times New Roman"/>
            <w:color w:val="0000FF"/>
            <w:sz w:val="24"/>
            <w:szCs w:val="24"/>
            <w:u w:val="single"/>
          </w:rPr>
          <w:t>App'x</w:t>
        </w:r>
        <w:proofErr w:type="spellEnd"/>
        <w:r w:rsidRPr="001C511A">
          <w:rPr>
            <w:rFonts w:ascii="Times New Roman" w:eastAsia="Times New Roman" w:hAnsi="Times New Roman" w:cs="Times New Roman"/>
            <w:color w:val="0000FF"/>
            <w:sz w:val="24"/>
            <w:szCs w:val="24"/>
            <w:u w:val="single"/>
          </w:rPr>
          <w:t xml:space="preserve"> 249, 256 (5th Cir. 2011)</w:t>
        </w:r>
      </w:hyperlink>
      <w:r w:rsidRPr="001C511A">
        <w:rPr>
          <w:rFonts w:ascii="Times New Roman" w:eastAsia="Times New Roman" w:hAnsi="Times New Roman" w:cs="Times New Roman"/>
          <w:sz w:val="24"/>
          <w:szCs w:val="24"/>
        </w:rPr>
        <w:t xml:space="preserve"> (per </w:t>
      </w:r>
      <w:proofErr w:type="spellStart"/>
      <w:r w:rsidRPr="001C511A">
        <w:rPr>
          <w:rFonts w:ascii="Times New Roman" w:eastAsia="Times New Roman" w:hAnsi="Times New Roman" w:cs="Times New Roman"/>
          <w:sz w:val="24"/>
          <w:szCs w:val="24"/>
        </w:rPr>
        <w:t>curiam</w:t>
      </w:r>
      <w:proofErr w:type="spellEnd"/>
      <w:r w:rsidRPr="001C511A">
        <w:rPr>
          <w:rFonts w:ascii="Times New Roman" w:eastAsia="Times New Roman" w:hAnsi="Times New Roman" w:cs="Times New Roman"/>
          <w:sz w:val="24"/>
          <w:szCs w:val="24"/>
        </w:rPr>
        <w:t>) (upholding International Emergency Economic Powers Act's delegation, which authorizes the President to declare a national emergency and limit certain types of economic activity related to that threat).</w:t>
      </w:r>
    </w:p>
    <w:p w14:paraId="23EBE172" w14:textId="77777777" w:rsidR="001C511A" w:rsidRDefault="001C511A" w:rsidP="00DD36B3">
      <w:pPr>
        <w:spacing w:after="0" w:line="240" w:lineRule="auto"/>
        <w:rPr>
          <w:rFonts w:ascii="Times New Roman" w:eastAsia="Times New Roman" w:hAnsi="Times New Roman" w:cs="Times New Roman"/>
          <w:sz w:val="24"/>
          <w:szCs w:val="24"/>
        </w:rPr>
      </w:pPr>
    </w:p>
    <w:p w14:paraId="100BC52C" w14:textId="51772AF2" w:rsidR="001C511A"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and, instead, has long defended “Congress’[s] ability to delegate power under broad standards.”</w:t>
      </w:r>
      <w:hyperlink r:id="rId63" w:anchor="co_footnote_B00182051336180" w:history="1">
        <w:r w:rsidRPr="00DD36B3">
          <w:rPr>
            <w:rFonts w:ascii="Times New Roman" w:eastAsia="Times New Roman" w:hAnsi="Times New Roman" w:cs="Times New Roman"/>
            <w:color w:val="0000FF"/>
            <w:sz w:val="24"/>
            <w:szCs w:val="24"/>
            <w:u w:val="single"/>
            <w:vertAlign w:val="superscript"/>
          </w:rPr>
          <w:t>18</w:t>
        </w:r>
      </w:hyperlink>
      <w:r w:rsidRPr="00DD36B3">
        <w:rPr>
          <w:rFonts w:ascii="Times New Roman" w:eastAsia="Times New Roman" w:hAnsi="Times New Roman" w:cs="Times New Roman"/>
          <w:sz w:val="24"/>
          <w:szCs w:val="24"/>
        </w:rPr>
        <w:t xml:space="preserve"> </w:t>
      </w:r>
    </w:p>
    <w:p w14:paraId="0D0F3EB8"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64" w:anchor="co_fnRef_B00182051336180_ID0E4KBG" w:history="1">
        <w:r w:rsidRPr="001C511A">
          <w:rPr>
            <w:rFonts w:ascii="Times New Roman" w:eastAsia="Times New Roman" w:hAnsi="Times New Roman" w:cs="Times New Roman"/>
            <w:color w:val="0000FF"/>
            <w:sz w:val="24"/>
            <w:szCs w:val="24"/>
            <w:u w:val="single"/>
          </w:rPr>
          <w:t>18</w:t>
        </w:r>
      </w:hyperlink>
    </w:p>
    <w:p w14:paraId="1CE5D6A9"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65" w:anchor="co_pp_sp_780_373" w:history="1">
        <w:proofErr w:type="spellStart"/>
        <w:r w:rsidRPr="001C511A">
          <w:rPr>
            <w:rFonts w:ascii="Times New Roman" w:eastAsia="Times New Roman" w:hAnsi="Times New Roman" w:cs="Times New Roman"/>
            <w:i/>
            <w:iCs/>
            <w:color w:val="0000FF"/>
            <w:sz w:val="24"/>
            <w:szCs w:val="24"/>
            <w:u w:val="single"/>
          </w:rPr>
          <w:t>Mistretta</w:t>
        </w:r>
        <w:proofErr w:type="spellEnd"/>
        <w:r w:rsidRPr="001C511A">
          <w:rPr>
            <w:rFonts w:ascii="Times New Roman" w:eastAsia="Times New Roman" w:hAnsi="Times New Roman" w:cs="Times New Roman"/>
            <w:color w:val="0000FF"/>
            <w:sz w:val="24"/>
            <w:szCs w:val="24"/>
            <w:u w:val="single"/>
          </w:rPr>
          <w:t xml:space="preserve">, 488 U.S. at 373, 109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647</w:t>
        </w:r>
      </w:hyperlink>
      <w:r w:rsidRPr="001C511A">
        <w:rPr>
          <w:rFonts w:ascii="Times New Roman" w:eastAsia="Times New Roman" w:hAnsi="Times New Roman" w:cs="Times New Roman"/>
          <w:sz w:val="24"/>
          <w:szCs w:val="24"/>
        </w:rPr>
        <w:t xml:space="preserve">. For example, the Court has blessed delegations that authorize regulation in the “public interest” or to “protect the public health.” </w:t>
      </w:r>
      <w:r w:rsidRPr="001C511A">
        <w:rPr>
          <w:rFonts w:ascii="Times New Roman" w:eastAsia="Times New Roman" w:hAnsi="Times New Roman" w:cs="Times New Roman"/>
          <w:i/>
          <w:iCs/>
          <w:sz w:val="24"/>
          <w:szCs w:val="24"/>
        </w:rPr>
        <w:t>See, e.g.</w:t>
      </w:r>
      <w:r w:rsidRPr="001C511A">
        <w:rPr>
          <w:rFonts w:ascii="Times New Roman" w:eastAsia="Times New Roman" w:hAnsi="Times New Roman" w:cs="Times New Roman"/>
          <w:sz w:val="24"/>
          <w:szCs w:val="24"/>
        </w:rPr>
        <w:t xml:space="preserve">, </w:t>
      </w:r>
      <w:hyperlink r:id="rId66" w:anchor="co_pp_sp_780_472" w:history="1">
        <w:r w:rsidRPr="001C511A">
          <w:rPr>
            <w:rFonts w:ascii="Times New Roman" w:eastAsia="Times New Roman" w:hAnsi="Times New Roman" w:cs="Times New Roman"/>
            <w:i/>
            <w:iCs/>
            <w:color w:val="0000FF"/>
            <w:sz w:val="24"/>
            <w:szCs w:val="24"/>
            <w:u w:val="single"/>
          </w:rPr>
          <w:t xml:space="preserve">Whitman v. Am. Trucking </w:t>
        </w:r>
        <w:proofErr w:type="spellStart"/>
        <w:r w:rsidRPr="001C511A">
          <w:rPr>
            <w:rFonts w:ascii="Times New Roman" w:eastAsia="Times New Roman" w:hAnsi="Times New Roman" w:cs="Times New Roman"/>
            <w:i/>
            <w:iCs/>
            <w:color w:val="0000FF"/>
            <w:sz w:val="24"/>
            <w:szCs w:val="24"/>
            <w:u w:val="single"/>
          </w:rPr>
          <w:t>Ass'ns</w:t>
        </w:r>
        <w:proofErr w:type="spellEnd"/>
        <w:r w:rsidRPr="001C511A">
          <w:rPr>
            <w:rFonts w:ascii="Times New Roman" w:eastAsia="Times New Roman" w:hAnsi="Times New Roman" w:cs="Times New Roman"/>
            <w:i/>
            <w:iCs/>
            <w:color w:val="0000FF"/>
            <w:sz w:val="24"/>
            <w:szCs w:val="24"/>
            <w:u w:val="single"/>
          </w:rPr>
          <w:t>, Inc.</w:t>
        </w:r>
        <w:r w:rsidRPr="001C511A">
          <w:rPr>
            <w:rFonts w:ascii="Times New Roman" w:eastAsia="Times New Roman" w:hAnsi="Times New Roman" w:cs="Times New Roman"/>
            <w:color w:val="0000FF"/>
            <w:sz w:val="24"/>
            <w:szCs w:val="24"/>
            <w:u w:val="single"/>
          </w:rPr>
          <w:t xml:space="preserve">, 531 U.S. 457, 472, 121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903, 149 L.Ed.2d 1 (2001)</w:t>
        </w:r>
      </w:hyperlink>
      <w:r w:rsidRPr="001C511A">
        <w:rPr>
          <w:rFonts w:ascii="Times New Roman" w:eastAsia="Times New Roman" w:hAnsi="Times New Roman" w:cs="Times New Roman"/>
          <w:sz w:val="24"/>
          <w:szCs w:val="24"/>
        </w:rPr>
        <w:t xml:space="preserve"> (upholding delegation to EPA to regulate “ambient air quality standards the attainment and maintenance of which in the judgment of the Administrator ... are requisite to protect the public health”); </w:t>
      </w:r>
      <w:hyperlink r:id="rId67" w:anchor="co_pp_sp_780_225" w:history="1">
        <w:proofErr w:type="spellStart"/>
        <w:r w:rsidRPr="001C511A">
          <w:rPr>
            <w:rFonts w:ascii="Times New Roman" w:eastAsia="Times New Roman" w:hAnsi="Times New Roman" w:cs="Times New Roman"/>
            <w:i/>
            <w:iCs/>
            <w:color w:val="0000FF"/>
            <w:sz w:val="24"/>
            <w:szCs w:val="24"/>
            <w:u w:val="single"/>
          </w:rPr>
          <w:t>Nat'l</w:t>
        </w:r>
        <w:proofErr w:type="spellEnd"/>
        <w:r w:rsidRPr="001C511A">
          <w:rPr>
            <w:rFonts w:ascii="Times New Roman" w:eastAsia="Times New Roman" w:hAnsi="Times New Roman" w:cs="Times New Roman"/>
            <w:i/>
            <w:iCs/>
            <w:color w:val="0000FF"/>
            <w:sz w:val="24"/>
            <w:szCs w:val="24"/>
            <w:u w:val="single"/>
          </w:rPr>
          <w:t xml:space="preserve"> Broad. Co. v. United States</w:t>
        </w:r>
        <w:r w:rsidRPr="001C511A">
          <w:rPr>
            <w:rFonts w:ascii="Times New Roman" w:eastAsia="Times New Roman" w:hAnsi="Times New Roman" w:cs="Times New Roman"/>
            <w:color w:val="0000FF"/>
            <w:sz w:val="24"/>
            <w:szCs w:val="24"/>
            <w:u w:val="single"/>
          </w:rPr>
          <w:t xml:space="preserve">, 319 U.S. 190, 225–26, 63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xml:space="preserve">. 997, 87 </w:t>
        </w:r>
        <w:proofErr w:type="spellStart"/>
        <w:r w:rsidRPr="001C511A">
          <w:rPr>
            <w:rFonts w:ascii="Times New Roman" w:eastAsia="Times New Roman" w:hAnsi="Times New Roman" w:cs="Times New Roman"/>
            <w:color w:val="0000FF"/>
            <w:sz w:val="24"/>
            <w:szCs w:val="24"/>
            <w:u w:val="single"/>
          </w:rPr>
          <w:t>L.Ed</w:t>
        </w:r>
        <w:proofErr w:type="spellEnd"/>
        <w:r w:rsidRPr="001C511A">
          <w:rPr>
            <w:rFonts w:ascii="Times New Roman" w:eastAsia="Times New Roman" w:hAnsi="Times New Roman" w:cs="Times New Roman"/>
            <w:color w:val="0000FF"/>
            <w:sz w:val="24"/>
            <w:szCs w:val="24"/>
            <w:u w:val="single"/>
          </w:rPr>
          <w:t>. 1344 (1943)</w:t>
        </w:r>
      </w:hyperlink>
      <w:r w:rsidRPr="001C511A">
        <w:rPr>
          <w:rFonts w:ascii="Times New Roman" w:eastAsia="Times New Roman" w:hAnsi="Times New Roman" w:cs="Times New Roman"/>
          <w:sz w:val="24"/>
          <w:szCs w:val="24"/>
        </w:rPr>
        <w:t xml:space="preserve"> (upholding delegation to FCC to regulate broadcast licensing in the “public interest”); </w:t>
      </w:r>
      <w:hyperlink r:id="rId68" w:anchor="co_pp_sp_780_24" w:history="1">
        <w:r w:rsidRPr="001C511A">
          <w:rPr>
            <w:rFonts w:ascii="Times New Roman" w:eastAsia="Times New Roman" w:hAnsi="Times New Roman" w:cs="Times New Roman"/>
            <w:i/>
            <w:iCs/>
            <w:color w:val="0000FF"/>
            <w:sz w:val="24"/>
            <w:szCs w:val="24"/>
            <w:u w:val="single"/>
          </w:rPr>
          <w:t>N.Y. Cent. Sec. Corp. v. United States</w:t>
        </w:r>
        <w:r w:rsidRPr="001C511A">
          <w:rPr>
            <w:rFonts w:ascii="Times New Roman" w:eastAsia="Times New Roman" w:hAnsi="Times New Roman" w:cs="Times New Roman"/>
            <w:color w:val="0000FF"/>
            <w:sz w:val="24"/>
            <w:szCs w:val="24"/>
            <w:u w:val="single"/>
          </w:rPr>
          <w:t xml:space="preserve">, 287 U.S. 12, 24–25, 53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xml:space="preserve">. 45, 77 </w:t>
        </w:r>
        <w:proofErr w:type="spellStart"/>
        <w:r w:rsidRPr="001C511A">
          <w:rPr>
            <w:rFonts w:ascii="Times New Roman" w:eastAsia="Times New Roman" w:hAnsi="Times New Roman" w:cs="Times New Roman"/>
            <w:color w:val="0000FF"/>
            <w:sz w:val="24"/>
            <w:szCs w:val="24"/>
            <w:u w:val="single"/>
          </w:rPr>
          <w:t>L.Ed</w:t>
        </w:r>
        <w:proofErr w:type="spellEnd"/>
        <w:r w:rsidRPr="001C511A">
          <w:rPr>
            <w:rFonts w:ascii="Times New Roman" w:eastAsia="Times New Roman" w:hAnsi="Times New Roman" w:cs="Times New Roman"/>
            <w:color w:val="0000FF"/>
            <w:sz w:val="24"/>
            <w:szCs w:val="24"/>
            <w:u w:val="single"/>
          </w:rPr>
          <w:t>. 138 (1932)</w:t>
        </w:r>
      </w:hyperlink>
      <w:r w:rsidRPr="001C511A">
        <w:rPr>
          <w:rFonts w:ascii="Times New Roman" w:eastAsia="Times New Roman" w:hAnsi="Times New Roman" w:cs="Times New Roman"/>
          <w:sz w:val="24"/>
          <w:szCs w:val="24"/>
        </w:rPr>
        <w:t xml:space="preserve"> (upholding delegation of authority to Interstate Commerce Commission to approve railroad consolidations that are in the “public interest”). Moreover, the Court has also approved of delegations that spoke in terms of fairness and equity. </w:t>
      </w:r>
      <w:r w:rsidRPr="001C511A">
        <w:rPr>
          <w:rFonts w:ascii="Times New Roman" w:eastAsia="Times New Roman" w:hAnsi="Times New Roman" w:cs="Times New Roman"/>
          <w:i/>
          <w:iCs/>
          <w:sz w:val="24"/>
          <w:szCs w:val="24"/>
        </w:rPr>
        <w:t>See, e.g.</w:t>
      </w:r>
      <w:r w:rsidRPr="001C511A">
        <w:rPr>
          <w:rFonts w:ascii="Times New Roman" w:eastAsia="Times New Roman" w:hAnsi="Times New Roman" w:cs="Times New Roman"/>
          <w:sz w:val="24"/>
          <w:szCs w:val="24"/>
        </w:rPr>
        <w:t xml:space="preserve">, </w:t>
      </w:r>
      <w:hyperlink r:id="rId69" w:anchor="co_pp_sp_780_104" w:history="1">
        <w:r w:rsidRPr="001C511A">
          <w:rPr>
            <w:rFonts w:ascii="Times New Roman" w:eastAsia="Times New Roman" w:hAnsi="Times New Roman" w:cs="Times New Roman"/>
            <w:i/>
            <w:iCs/>
            <w:color w:val="0000FF"/>
            <w:sz w:val="24"/>
            <w:szCs w:val="24"/>
            <w:u w:val="single"/>
          </w:rPr>
          <w:t>Am. Power</w:t>
        </w:r>
        <w:r w:rsidRPr="001C511A">
          <w:rPr>
            <w:rFonts w:ascii="Times New Roman" w:eastAsia="Times New Roman" w:hAnsi="Times New Roman" w:cs="Times New Roman"/>
            <w:color w:val="0000FF"/>
            <w:sz w:val="24"/>
            <w:szCs w:val="24"/>
            <w:u w:val="single"/>
          </w:rPr>
          <w:t xml:space="preserve">, 329 U.S. at 104, 67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133</w:t>
        </w:r>
      </w:hyperlink>
      <w:r w:rsidRPr="001C511A">
        <w:rPr>
          <w:rFonts w:ascii="Times New Roman" w:eastAsia="Times New Roman" w:hAnsi="Times New Roman" w:cs="Times New Roman"/>
          <w:sz w:val="24"/>
          <w:szCs w:val="24"/>
        </w:rPr>
        <w:t xml:space="preserve"> (upholding delegation to SEC to ensure that holding companies didn't “unduly or unnecessarily complicate” corporate structures or “unfairly or inequitably distribute voting power among security holders”); </w:t>
      </w:r>
      <w:hyperlink r:id="rId70" w:anchor="co_pp_sp_780_426" w:history="1">
        <w:proofErr w:type="spellStart"/>
        <w:r w:rsidRPr="001C511A">
          <w:rPr>
            <w:rFonts w:ascii="Times New Roman" w:eastAsia="Times New Roman" w:hAnsi="Times New Roman" w:cs="Times New Roman"/>
            <w:i/>
            <w:iCs/>
            <w:color w:val="0000FF"/>
            <w:sz w:val="24"/>
            <w:szCs w:val="24"/>
            <w:u w:val="single"/>
          </w:rPr>
          <w:t>Yakus</w:t>
        </w:r>
        <w:proofErr w:type="spellEnd"/>
        <w:r w:rsidRPr="001C511A">
          <w:rPr>
            <w:rFonts w:ascii="Times New Roman" w:eastAsia="Times New Roman" w:hAnsi="Times New Roman" w:cs="Times New Roman"/>
            <w:color w:val="0000FF"/>
            <w:sz w:val="24"/>
            <w:szCs w:val="24"/>
            <w:u w:val="single"/>
          </w:rPr>
          <w:t xml:space="preserve">, 321 U.S. at 426–27, 64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660</w:t>
        </w:r>
      </w:hyperlink>
      <w:r w:rsidRPr="001C511A">
        <w:rPr>
          <w:rFonts w:ascii="Times New Roman" w:eastAsia="Times New Roman" w:hAnsi="Times New Roman" w:cs="Times New Roman"/>
          <w:sz w:val="24"/>
          <w:szCs w:val="24"/>
        </w:rPr>
        <w:t xml:space="preserve"> (upholding delegation to agency to set commodity prices that are “fair and equitable” and that “tend to promote the purposes of the Act”); </w:t>
      </w:r>
      <w:r w:rsidRPr="001C511A">
        <w:rPr>
          <w:rFonts w:ascii="Times New Roman" w:eastAsia="Times New Roman" w:hAnsi="Times New Roman" w:cs="Times New Roman"/>
          <w:i/>
          <w:iCs/>
          <w:sz w:val="24"/>
          <w:szCs w:val="24"/>
        </w:rPr>
        <w:t>cf.</w:t>
      </w:r>
      <w:r w:rsidRPr="001C511A">
        <w:rPr>
          <w:rFonts w:ascii="Times New Roman" w:eastAsia="Times New Roman" w:hAnsi="Times New Roman" w:cs="Times New Roman"/>
          <w:sz w:val="24"/>
          <w:szCs w:val="24"/>
        </w:rPr>
        <w:t xml:space="preserve"> </w:t>
      </w:r>
      <w:hyperlink r:id="rId71" w:anchor="co_pp_sp_780_785" w:history="1">
        <w:proofErr w:type="spellStart"/>
        <w:r w:rsidRPr="001C511A">
          <w:rPr>
            <w:rFonts w:ascii="Times New Roman" w:eastAsia="Times New Roman" w:hAnsi="Times New Roman" w:cs="Times New Roman"/>
            <w:i/>
            <w:iCs/>
            <w:color w:val="0000FF"/>
            <w:sz w:val="24"/>
            <w:szCs w:val="24"/>
            <w:u w:val="single"/>
          </w:rPr>
          <w:t>Lichter</w:t>
        </w:r>
        <w:proofErr w:type="spellEnd"/>
        <w:r w:rsidRPr="001C511A">
          <w:rPr>
            <w:rFonts w:ascii="Times New Roman" w:eastAsia="Times New Roman" w:hAnsi="Times New Roman" w:cs="Times New Roman"/>
            <w:i/>
            <w:iCs/>
            <w:color w:val="0000FF"/>
            <w:sz w:val="24"/>
            <w:szCs w:val="24"/>
            <w:u w:val="single"/>
          </w:rPr>
          <w:t xml:space="preserve"> v. United States</w:t>
        </w:r>
        <w:r w:rsidRPr="001C511A">
          <w:rPr>
            <w:rFonts w:ascii="Times New Roman" w:eastAsia="Times New Roman" w:hAnsi="Times New Roman" w:cs="Times New Roman"/>
            <w:color w:val="0000FF"/>
            <w:sz w:val="24"/>
            <w:szCs w:val="24"/>
            <w:u w:val="single"/>
          </w:rPr>
          <w:t xml:space="preserve">, 334 U.S. 742, 785–86, 68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xml:space="preserve">. 1294, 92 </w:t>
        </w:r>
        <w:proofErr w:type="spellStart"/>
        <w:r w:rsidRPr="001C511A">
          <w:rPr>
            <w:rFonts w:ascii="Times New Roman" w:eastAsia="Times New Roman" w:hAnsi="Times New Roman" w:cs="Times New Roman"/>
            <w:color w:val="0000FF"/>
            <w:sz w:val="24"/>
            <w:szCs w:val="24"/>
            <w:u w:val="single"/>
          </w:rPr>
          <w:t>L.Ed</w:t>
        </w:r>
        <w:proofErr w:type="spellEnd"/>
        <w:r w:rsidRPr="001C511A">
          <w:rPr>
            <w:rFonts w:ascii="Times New Roman" w:eastAsia="Times New Roman" w:hAnsi="Times New Roman" w:cs="Times New Roman"/>
            <w:color w:val="0000FF"/>
            <w:sz w:val="24"/>
            <w:szCs w:val="24"/>
            <w:u w:val="single"/>
          </w:rPr>
          <w:t>. 1694 (1948)</w:t>
        </w:r>
      </w:hyperlink>
      <w:r w:rsidRPr="001C511A">
        <w:rPr>
          <w:rFonts w:ascii="Times New Roman" w:eastAsia="Times New Roman" w:hAnsi="Times New Roman" w:cs="Times New Roman"/>
          <w:sz w:val="24"/>
          <w:szCs w:val="24"/>
        </w:rPr>
        <w:t xml:space="preserve"> (upholding delegation of to Secretary of War to recover “excessive profits” from private businesses in times of crisis).</w:t>
      </w:r>
    </w:p>
    <w:p w14:paraId="63B760F3" w14:textId="77777777" w:rsidR="001C511A" w:rsidRDefault="001C511A" w:rsidP="00DD36B3">
      <w:pPr>
        <w:spacing w:after="0" w:line="240" w:lineRule="auto"/>
        <w:rPr>
          <w:rFonts w:ascii="Times New Roman" w:eastAsia="Times New Roman" w:hAnsi="Times New Roman" w:cs="Times New Roman"/>
          <w:sz w:val="24"/>
          <w:szCs w:val="24"/>
        </w:rPr>
      </w:pPr>
    </w:p>
    <w:p w14:paraId="3A32FE51" w14:textId="35C98BFA"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In fact, the Court has *443 “almost never felt qualified to second-guess Congress regarding the permissible degree of policy judgment that can be left to those executing or applying the law.” </w:t>
      </w:r>
      <w:hyperlink r:id="rId72" w:anchor="co_pp_sp_780_474" w:history="1">
        <w:r w:rsidRPr="00DD36B3">
          <w:rPr>
            <w:rFonts w:ascii="Times New Roman" w:eastAsia="Times New Roman" w:hAnsi="Times New Roman" w:cs="Times New Roman"/>
            <w:i/>
            <w:iCs/>
            <w:color w:val="0000FF"/>
            <w:sz w:val="24"/>
            <w:szCs w:val="24"/>
            <w:u w:val="single"/>
          </w:rPr>
          <w:t>Am. Trucking</w:t>
        </w:r>
        <w:r w:rsidRPr="00DD36B3">
          <w:rPr>
            <w:rFonts w:ascii="Times New Roman" w:eastAsia="Times New Roman" w:hAnsi="Times New Roman" w:cs="Times New Roman"/>
            <w:color w:val="0000FF"/>
            <w:sz w:val="24"/>
            <w:szCs w:val="24"/>
            <w:u w:val="single"/>
          </w:rPr>
          <w:t xml:space="preserve">, 531 U.S. at 474–75, 121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903</w:t>
        </w:r>
      </w:hyperlink>
      <w:r w:rsidRPr="00DD36B3">
        <w:rPr>
          <w:rFonts w:ascii="Times New Roman" w:eastAsia="Times New Roman" w:hAnsi="Times New Roman" w:cs="Times New Roman"/>
          <w:sz w:val="24"/>
          <w:szCs w:val="24"/>
        </w:rPr>
        <w:t>.</w:t>
      </w:r>
    </w:p>
    <w:p w14:paraId="2B3D982B" w14:textId="77777777" w:rsidR="001C511A"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That does not mean, however, that we must rubber-stamp all delegations of legislative power. Indeed, “[w]e ought not to shy away from our judicial duty to invalidate unconstitutional delegations”; “[i]f we are ever to reshoulder the burden of ensuring that Congress itself make the critical policy decisions, these are surely the cases in which to do it.”</w:t>
      </w:r>
      <w:hyperlink r:id="rId73" w:anchor="co_footnote_B00192051336180" w:history="1">
        <w:r w:rsidRPr="00DD36B3">
          <w:rPr>
            <w:rFonts w:ascii="Times New Roman" w:eastAsia="Times New Roman" w:hAnsi="Times New Roman" w:cs="Times New Roman"/>
            <w:color w:val="0000FF"/>
            <w:sz w:val="24"/>
            <w:szCs w:val="24"/>
            <w:u w:val="single"/>
            <w:vertAlign w:val="superscript"/>
          </w:rPr>
          <w:t>19</w:t>
        </w:r>
      </w:hyperlink>
      <w:r w:rsidRPr="00DD36B3">
        <w:rPr>
          <w:rFonts w:ascii="Times New Roman" w:eastAsia="Times New Roman" w:hAnsi="Times New Roman" w:cs="Times New Roman"/>
          <w:sz w:val="24"/>
          <w:szCs w:val="24"/>
        </w:rPr>
        <w:t xml:space="preserve"> </w:t>
      </w:r>
    </w:p>
    <w:p w14:paraId="3DBDDD96"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74" w:anchor="co_fnRef_B00192051336180_ID0ELYBG" w:history="1">
        <w:r w:rsidRPr="001C511A">
          <w:rPr>
            <w:rFonts w:ascii="Times New Roman" w:eastAsia="Times New Roman" w:hAnsi="Times New Roman" w:cs="Times New Roman"/>
            <w:color w:val="0000FF"/>
            <w:sz w:val="24"/>
            <w:szCs w:val="24"/>
            <w:u w:val="single"/>
          </w:rPr>
          <w:t>19</w:t>
        </w:r>
      </w:hyperlink>
    </w:p>
    <w:p w14:paraId="37EAA307"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75" w:anchor="co_pp_sp_780_686" w:history="1">
        <w:r w:rsidRPr="001C511A">
          <w:rPr>
            <w:rFonts w:ascii="Times New Roman" w:eastAsia="Times New Roman" w:hAnsi="Times New Roman" w:cs="Times New Roman"/>
            <w:i/>
            <w:iCs/>
            <w:color w:val="0000FF"/>
            <w:sz w:val="24"/>
            <w:szCs w:val="24"/>
            <w:u w:val="single"/>
          </w:rPr>
          <w:t xml:space="preserve">Indus. Union </w:t>
        </w:r>
        <w:proofErr w:type="spellStart"/>
        <w:r w:rsidRPr="001C511A">
          <w:rPr>
            <w:rFonts w:ascii="Times New Roman" w:eastAsia="Times New Roman" w:hAnsi="Times New Roman" w:cs="Times New Roman"/>
            <w:i/>
            <w:iCs/>
            <w:color w:val="0000FF"/>
            <w:sz w:val="24"/>
            <w:szCs w:val="24"/>
            <w:u w:val="single"/>
          </w:rPr>
          <w:t>Dep't</w:t>
        </w:r>
        <w:proofErr w:type="spellEnd"/>
        <w:r w:rsidRPr="001C511A">
          <w:rPr>
            <w:rFonts w:ascii="Times New Roman" w:eastAsia="Times New Roman" w:hAnsi="Times New Roman" w:cs="Times New Roman"/>
            <w:i/>
            <w:iCs/>
            <w:color w:val="0000FF"/>
            <w:sz w:val="24"/>
            <w:szCs w:val="24"/>
            <w:u w:val="single"/>
          </w:rPr>
          <w:t>, AFL-CIO v. Am. Petroleum Inst.</w:t>
        </w:r>
        <w:r w:rsidRPr="001C511A">
          <w:rPr>
            <w:rFonts w:ascii="Times New Roman" w:eastAsia="Times New Roman" w:hAnsi="Times New Roman" w:cs="Times New Roman"/>
            <w:color w:val="0000FF"/>
            <w:sz w:val="24"/>
            <w:szCs w:val="24"/>
            <w:u w:val="single"/>
          </w:rPr>
          <w:t xml:space="preserve">, 448 U.S. 607, 686–87, 100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2844, 65 L.Ed.2d 1010 (1980)</w:t>
        </w:r>
      </w:hyperlink>
      <w:r w:rsidRPr="001C511A">
        <w:rPr>
          <w:rFonts w:ascii="Times New Roman" w:eastAsia="Times New Roman" w:hAnsi="Times New Roman" w:cs="Times New Roman"/>
          <w:sz w:val="24"/>
          <w:szCs w:val="24"/>
        </w:rPr>
        <w:t xml:space="preserve"> (Rehnquist, J., concurring in the judgment).</w:t>
      </w:r>
    </w:p>
    <w:p w14:paraId="23193491" w14:textId="77777777" w:rsidR="001C511A" w:rsidRDefault="001C511A" w:rsidP="00DD36B3">
      <w:pPr>
        <w:spacing w:after="0" w:line="240" w:lineRule="auto"/>
        <w:rPr>
          <w:rFonts w:ascii="Times New Roman" w:eastAsia="Times New Roman" w:hAnsi="Times New Roman" w:cs="Times New Roman"/>
          <w:sz w:val="24"/>
          <w:szCs w:val="24"/>
        </w:rPr>
      </w:pPr>
    </w:p>
    <w:p w14:paraId="5C6385AB" w14:textId="710BE422" w:rsidR="001C511A" w:rsidRDefault="00DD36B3" w:rsidP="00DD36B3">
      <w:pPr>
        <w:spacing w:after="0" w:line="240" w:lineRule="auto"/>
        <w:rPr>
          <w:rFonts w:ascii="Times New Roman" w:eastAsia="Times New Roman" w:hAnsi="Times New Roman" w:cs="Times New Roman"/>
          <w:sz w:val="24"/>
          <w:szCs w:val="24"/>
          <w:vertAlign w:val="superscript"/>
        </w:rPr>
      </w:pPr>
      <w:r w:rsidRPr="00DD36B3">
        <w:rPr>
          <w:rFonts w:ascii="Times New Roman" w:eastAsia="Times New Roman" w:hAnsi="Times New Roman" w:cs="Times New Roman"/>
          <w:sz w:val="24"/>
          <w:szCs w:val="24"/>
        </w:rPr>
        <w:t>In that spirit, several Justices recently expressed interest in reexamining the nondelegation doctrine.</w:t>
      </w:r>
      <w:hyperlink r:id="rId76" w:anchor="co_footnote_B00202051336180" w:history="1">
        <w:r w:rsidRPr="00DD36B3">
          <w:rPr>
            <w:rFonts w:ascii="Times New Roman" w:eastAsia="Times New Roman" w:hAnsi="Times New Roman" w:cs="Times New Roman"/>
            <w:color w:val="0000FF"/>
            <w:sz w:val="24"/>
            <w:szCs w:val="24"/>
            <w:u w:val="single"/>
            <w:vertAlign w:val="superscript"/>
          </w:rPr>
          <w:t>20</w:t>
        </w:r>
      </w:hyperlink>
    </w:p>
    <w:p w14:paraId="31D31FBB"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77" w:anchor="co_fnRef_B00202051336180_ID0EVYBG" w:history="1">
        <w:r w:rsidRPr="001C511A">
          <w:rPr>
            <w:rFonts w:ascii="Times New Roman" w:eastAsia="Times New Roman" w:hAnsi="Times New Roman" w:cs="Times New Roman"/>
            <w:color w:val="0000FF"/>
            <w:sz w:val="24"/>
            <w:szCs w:val="24"/>
            <w:u w:val="single"/>
          </w:rPr>
          <w:t>20</w:t>
        </w:r>
      </w:hyperlink>
    </w:p>
    <w:p w14:paraId="0B75246D" w14:textId="77777777" w:rsidR="001C511A" w:rsidRPr="001C511A" w:rsidRDefault="001C511A" w:rsidP="001C511A">
      <w:pPr>
        <w:spacing w:after="0" w:line="240" w:lineRule="auto"/>
        <w:rPr>
          <w:rFonts w:ascii="Times New Roman" w:eastAsia="Times New Roman" w:hAnsi="Times New Roman" w:cs="Times New Roman"/>
          <w:sz w:val="24"/>
          <w:szCs w:val="24"/>
        </w:rPr>
      </w:pPr>
      <w:r w:rsidRPr="001C511A">
        <w:rPr>
          <w:rFonts w:ascii="Times New Roman" w:eastAsia="Times New Roman" w:hAnsi="Times New Roman" w:cs="Times New Roman"/>
          <w:i/>
          <w:iCs/>
          <w:sz w:val="24"/>
          <w:szCs w:val="24"/>
        </w:rPr>
        <w:t>See</w:t>
      </w:r>
      <w:r w:rsidRPr="001C511A">
        <w:rPr>
          <w:rFonts w:ascii="Times New Roman" w:eastAsia="Times New Roman" w:hAnsi="Times New Roman" w:cs="Times New Roman"/>
          <w:sz w:val="24"/>
          <w:szCs w:val="24"/>
        </w:rPr>
        <w:t xml:space="preserve"> </w:t>
      </w:r>
      <w:hyperlink r:id="rId78" w:anchor="co_pp_sp_708_2131" w:history="1">
        <w:r w:rsidRPr="001C511A">
          <w:rPr>
            <w:rFonts w:ascii="Times New Roman" w:eastAsia="Times New Roman" w:hAnsi="Times New Roman" w:cs="Times New Roman"/>
            <w:i/>
            <w:iCs/>
            <w:color w:val="0000FF"/>
            <w:sz w:val="24"/>
            <w:szCs w:val="24"/>
            <w:u w:val="single"/>
          </w:rPr>
          <w:t>Gundy</w:t>
        </w:r>
        <w:r w:rsidRPr="001C511A">
          <w:rPr>
            <w:rFonts w:ascii="Times New Roman" w:eastAsia="Times New Roman" w:hAnsi="Times New Roman" w:cs="Times New Roman"/>
            <w:color w:val="0000FF"/>
            <w:sz w:val="24"/>
            <w:szCs w:val="24"/>
            <w:u w:val="single"/>
          </w:rPr>
          <w:t>, 139 S. Ct. at 2131</w:t>
        </w:r>
      </w:hyperlink>
      <w:r w:rsidRPr="001C511A">
        <w:rPr>
          <w:rFonts w:ascii="Times New Roman" w:eastAsia="Times New Roman" w:hAnsi="Times New Roman" w:cs="Times New Roman"/>
          <w:sz w:val="24"/>
          <w:szCs w:val="24"/>
        </w:rPr>
        <w:t xml:space="preserve"> (Alito, J., concurring in the judgment) (“If a majority of this Court were willing to reconsider the approach we have taken for the past 84 years, I would support that effort.”); </w:t>
      </w:r>
      <w:hyperlink r:id="rId79" w:history="1">
        <w:r w:rsidRPr="001C511A">
          <w:rPr>
            <w:rFonts w:ascii="Times New Roman" w:eastAsia="Times New Roman" w:hAnsi="Times New Roman" w:cs="Times New Roman"/>
            <w:i/>
            <w:iCs/>
            <w:color w:val="0000FF"/>
            <w:sz w:val="24"/>
            <w:szCs w:val="24"/>
            <w:u w:val="single"/>
          </w:rPr>
          <w:t>id</w:t>
        </w:r>
        <w:r w:rsidRPr="001C511A">
          <w:rPr>
            <w:rFonts w:ascii="Times New Roman" w:eastAsia="Times New Roman" w:hAnsi="Times New Roman" w:cs="Times New Roman"/>
            <w:color w:val="0000FF"/>
            <w:sz w:val="24"/>
            <w:szCs w:val="24"/>
            <w:u w:val="single"/>
          </w:rPr>
          <w:t>.</w:t>
        </w:r>
      </w:hyperlink>
      <w:r w:rsidRPr="001C511A">
        <w:rPr>
          <w:rFonts w:ascii="Times New Roman" w:eastAsia="Times New Roman" w:hAnsi="Times New Roman" w:cs="Times New Roman"/>
          <w:sz w:val="24"/>
          <w:szCs w:val="24"/>
        </w:rPr>
        <w:t xml:space="preserve"> (Gorsuch, J., dissenting) (indicating that the court shouldn't wait to reconsider the nondelegation doctrine, whose abandonment is premised on “an understanding of the Constitution at war with its text and history”); </w:t>
      </w:r>
      <w:hyperlink r:id="rId80" w:history="1">
        <w:r w:rsidRPr="001C511A">
          <w:rPr>
            <w:rFonts w:ascii="Times New Roman" w:eastAsia="Times New Roman" w:hAnsi="Times New Roman" w:cs="Times New Roman"/>
            <w:i/>
            <w:iCs/>
            <w:color w:val="0000FF"/>
            <w:sz w:val="24"/>
            <w:szCs w:val="24"/>
            <w:u w:val="single"/>
          </w:rPr>
          <w:t>Paul v. United States</w:t>
        </w:r>
        <w:r w:rsidRPr="001C511A">
          <w:rPr>
            <w:rFonts w:ascii="Times New Roman" w:eastAsia="Times New Roman" w:hAnsi="Times New Roman" w:cs="Times New Roman"/>
            <w:color w:val="0000FF"/>
            <w:sz w:val="24"/>
            <w:szCs w:val="24"/>
            <w:u w:val="single"/>
          </w:rPr>
          <w:t>, ––– U.S. ––––, 140 S. Ct. 342, 205 L.Ed.2d 368 (2019)</w:t>
        </w:r>
      </w:hyperlink>
      <w:r w:rsidRPr="001C511A">
        <w:rPr>
          <w:rFonts w:ascii="Times New Roman" w:eastAsia="Times New Roman" w:hAnsi="Times New Roman" w:cs="Times New Roman"/>
          <w:sz w:val="24"/>
          <w:szCs w:val="24"/>
        </w:rPr>
        <w:t xml:space="preserve"> (Kavanaugh, J., respecting the denial of certiorari) (“Justice GORSUCH's scholarly analysis of the Constitution's nondelegation doctrine in his </w:t>
      </w:r>
      <w:hyperlink r:id="rId81" w:history="1">
        <w:r w:rsidRPr="001C511A">
          <w:rPr>
            <w:rFonts w:ascii="Times New Roman" w:eastAsia="Times New Roman" w:hAnsi="Times New Roman" w:cs="Times New Roman"/>
            <w:i/>
            <w:iCs/>
            <w:color w:val="0000FF"/>
            <w:sz w:val="24"/>
            <w:szCs w:val="24"/>
            <w:u w:val="single"/>
          </w:rPr>
          <w:t>Gundy</w:t>
        </w:r>
      </w:hyperlink>
      <w:r w:rsidRPr="001C511A">
        <w:rPr>
          <w:rFonts w:ascii="Times New Roman" w:eastAsia="Times New Roman" w:hAnsi="Times New Roman" w:cs="Times New Roman"/>
          <w:sz w:val="24"/>
          <w:szCs w:val="24"/>
        </w:rPr>
        <w:t xml:space="preserve"> dissent may warrant further consideration in future cases.”)</w:t>
      </w:r>
    </w:p>
    <w:p w14:paraId="703BE595" w14:textId="77777777" w:rsidR="001C511A" w:rsidRDefault="001C511A" w:rsidP="00DD36B3">
      <w:pPr>
        <w:spacing w:after="0" w:line="240" w:lineRule="auto"/>
        <w:rPr>
          <w:rFonts w:ascii="Times New Roman" w:eastAsia="Times New Roman" w:hAnsi="Times New Roman" w:cs="Times New Roman"/>
          <w:sz w:val="24"/>
          <w:szCs w:val="24"/>
        </w:rPr>
      </w:pPr>
    </w:p>
    <w:p w14:paraId="7F967869" w14:textId="3B84454E"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B.</w:t>
      </w:r>
    </w:p>
    <w:p w14:paraId="194021EF" w14:textId="77777777" w:rsidR="001C511A" w:rsidRDefault="00DD36B3" w:rsidP="00DD36B3">
      <w:pPr>
        <w:spacing w:after="0" w:line="240" w:lineRule="auto"/>
        <w:rPr>
          <w:rFonts w:ascii="Times New Roman" w:eastAsia="Times New Roman" w:hAnsi="Times New Roman" w:cs="Times New Roman"/>
          <w:sz w:val="24"/>
          <w:szCs w:val="24"/>
        </w:rPr>
      </w:pPr>
      <w:hyperlink r:id="rId82" w:anchor="co_anchor_F72051336180" w:history="1">
        <w:r w:rsidRPr="00DD36B3">
          <w:rPr>
            <w:rFonts w:ascii="Times New Roman" w:eastAsia="Times New Roman" w:hAnsi="Times New Roman" w:cs="Times New Roman"/>
            <w:color w:val="0000FF"/>
            <w:sz w:val="24"/>
            <w:szCs w:val="24"/>
            <w:u w:val="single"/>
          </w:rPr>
          <w:t>7</w:t>
        </w:r>
      </w:hyperlink>
      <w:hyperlink r:id="rId83" w:anchor="co_anchor_F82051336180" w:history="1">
        <w:r w:rsidRPr="00DD36B3">
          <w:rPr>
            <w:rFonts w:ascii="Times New Roman" w:eastAsia="Times New Roman" w:hAnsi="Times New Roman" w:cs="Times New Roman"/>
            <w:color w:val="0000FF"/>
            <w:sz w:val="24"/>
            <w:szCs w:val="24"/>
            <w:u w:val="single"/>
          </w:rPr>
          <w:t>8</w:t>
        </w:r>
      </w:hyperlink>
      <w:r w:rsidRPr="00DD36B3">
        <w:rPr>
          <w:rFonts w:ascii="Times New Roman" w:eastAsia="Times New Roman" w:hAnsi="Times New Roman" w:cs="Times New Roman"/>
          <w:sz w:val="24"/>
          <w:szCs w:val="24"/>
        </w:rPr>
        <w:t xml:space="preserve">“[A] nondelegation inquiry always begins (and often almost ends) with statutory interpretation,” because we need “to figure out what task [the statute] delegates and what instructions it provides.” </w:t>
      </w:r>
      <w:hyperlink r:id="rId84" w:anchor="co_pp_sp_708_2123" w:history="1">
        <w:r w:rsidRPr="00DD36B3">
          <w:rPr>
            <w:rFonts w:ascii="Times New Roman" w:eastAsia="Times New Roman" w:hAnsi="Times New Roman" w:cs="Times New Roman"/>
            <w:i/>
            <w:iCs/>
            <w:color w:val="0000FF"/>
            <w:sz w:val="24"/>
            <w:szCs w:val="24"/>
            <w:u w:val="single"/>
          </w:rPr>
          <w:t>Gundy</w:t>
        </w:r>
        <w:r w:rsidRPr="00DD36B3">
          <w:rPr>
            <w:rFonts w:ascii="Times New Roman" w:eastAsia="Times New Roman" w:hAnsi="Times New Roman" w:cs="Times New Roman"/>
            <w:color w:val="0000FF"/>
            <w:sz w:val="24"/>
            <w:szCs w:val="24"/>
            <w:u w:val="single"/>
          </w:rPr>
          <w:t>, 139 S. Ct. at 2123</w:t>
        </w:r>
      </w:hyperlink>
      <w:r w:rsidRPr="00DD36B3">
        <w:rPr>
          <w:rFonts w:ascii="Times New Roman" w:eastAsia="Times New Roman" w:hAnsi="Times New Roman" w:cs="Times New Roman"/>
          <w:sz w:val="24"/>
          <w:szCs w:val="24"/>
        </w:rPr>
        <w:t xml:space="preserve"> (plurality). Our task should not be limited to </w:t>
      </w:r>
      <w:r w:rsidRPr="00DD36B3">
        <w:rPr>
          <w:rFonts w:ascii="Times New Roman" w:eastAsia="Times New Roman" w:hAnsi="Times New Roman" w:cs="Times New Roman"/>
          <w:sz w:val="24"/>
          <w:szCs w:val="24"/>
        </w:rPr>
        <w:lastRenderedPageBreak/>
        <w:t>the text alone—when evaluating whether Congress laid down a sufficiently intelligible principle, we're meant also to consider “the purpose of the [TCA], its factual background[,] and the statutory context.”</w:t>
      </w:r>
      <w:hyperlink r:id="rId85" w:anchor="co_footnote_B00212051336180" w:history="1">
        <w:r w:rsidRPr="00DD36B3">
          <w:rPr>
            <w:rFonts w:ascii="Times New Roman" w:eastAsia="Times New Roman" w:hAnsi="Times New Roman" w:cs="Times New Roman"/>
            <w:color w:val="0000FF"/>
            <w:sz w:val="24"/>
            <w:szCs w:val="24"/>
            <w:u w:val="single"/>
            <w:vertAlign w:val="superscript"/>
          </w:rPr>
          <w:t>21</w:t>
        </w:r>
      </w:hyperlink>
      <w:r w:rsidRPr="00DD36B3">
        <w:rPr>
          <w:rFonts w:ascii="Times New Roman" w:eastAsia="Times New Roman" w:hAnsi="Times New Roman" w:cs="Times New Roman"/>
          <w:sz w:val="24"/>
          <w:szCs w:val="24"/>
        </w:rPr>
        <w:t xml:space="preserve"> </w:t>
      </w:r>
    </w:p>
    <w:p w14:paraId="7E8A55A6"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86" w:anchor="co_fnRef_B00212051336180_ID0EL5BG" w:history="1">
        <w:r w:rsidRPr="001C511A">
          <w:rPr>
            <w:rFonts w:ascii="Times New Roman" w:eastAsia="Times New Roman" w:hAnsi="Times New Roman" w:cs="Times New Roman"/>
            <w:color w:val="0000FF"/>
            <w:sz w:val="24"/>
            <w:szCs w:val="24"/>
            <w:u w:val="single"/>
          </w:rPr>
          <w:t>21</w:t>
        </w:r>
      </w:hyperlink>
    </w:p>
    <w:p w14:paraId="1C04B6A5"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87" w:anchor="co_pp_sp_780_104" w:history="1">
        <w:r w:rsidRPr="001C511A">
          <w:rPr>
            <w:rFonts w:ascii="Times New Roman" w:eastAsia="Times New Roman" w:hAnsi="Times New Roman" w:cs="Times New Roman"/>
            <w:i/>
            <w:iCs/>
            <w:color w:val="0000FF"/>
            <w:sz w:val="24"/>
            <w:szCs w:val="24"/>
            <w:u w:val="single"/>
          </w:rPr>
          <w:t>Am. Power</w:t>
        </w:r>
        <w:r w:rsidRPr="001C511A">
          <w:rPr>
            <w:rFonts w:ascii="Times New Roman" w:eastAsia="Times New Roman" w:hAnsi="Times New Roman" w:cs="Times New Roman"/>
            <w:color w:val="0000FF"/>
            <w:sz w:val="24"/>
            <w:szCs w:val="24"/>
            <w:u w:val="single"/>
          </w:rPr>
          <w:t xml:space="preserve">, 329 U.S. at 104, 67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133</w:t>
        </w:r>
      </w:hyperlink>
      <w:r w:rsidRPr="001C511A">
        <w:rPr>
          <w:rFonts w:ascii="Times New Roman" w:eastAsia="Times New Roman" w:hAnsi="Times New Roman" w:cs="Times New Roman"/>
          <w:sz w:val="24"/>
          <w:szCs w:val="24"/>
        </w:rPr>
        <w:t xml:space="preserve">; </w:t>
      </w:r>
      <w:r w:rsidRPr="001C511A">
        <w:rPr>
          <w:rFonts w:ascii="Times New Roman" w:eastAsia="Times New Roman" w:hAnsi="Times New Roman" w:cs="Times New Roman"/>
          <w:i/>
          <w:iCs/>
          <w:sz w:val="24"/>
          <w:szCs w:val="24"/>
        </w:rPr>
        <w:t>accord</w:t>
      </w:r>
      <w:r w:rsidRPr="001C511A">
        <w:rPr>
          <w:rFonts w:ascii="Times New Roman" w:eastAsia="Times New Roman" w:hAnsi="Times New Roman" w:cs="Times New Roman"/>
          <w:sz w:val="24"/>
          <w:szCs w:val="24"/>
        </w:rPr>
        <w:t xml:space="preserve"> </w:t>
      </w:r>
      <w:hyperlink r:id="rId88" w:anchor="co_pp_sp_350_1037" w:history="1">
        <w:r w:rsidRPr="001C511A">
          <w:rPr>
            <w:rFonts w:ascii="Times New Roman" w:eastAsia="Times New Roman" w:hAnsi="Times New Roman" w:cs="Times New Roman"/>
            <w:i/>
            <w:iCs/>
            <w:color w:val="0000FF"/>
            <w:sz w:val="24"/>
            <w:szCs w:val="24"/>
            <w:u w:val="single"/>
          </w:rPr>
          <w:t>United States v. Womack</w:t>
        </w:r>
        <w:r w:rsidRPr="001C511A">
          <w:rPr>
            <w:rFonts w:ascii="Times New Roman" w:eastAsia="Times New Roman" w:hAnsi="Times New Roman" w:cs="Times New Roman"/>
            <w:color w:val="0000FF"/>
            <w:sz w:val="24"/>
            <w:szCs w:val="24"/>
            <w:u w:val="single"/>
          </w:rPr>
          <w:t>, 654 F.2d 1034, 1037 (5th Cir. Unit B 1981)</w:t>
        </w:r>
      </w:hyperlink>
      <w:r w:rsidRPr="001C511A">
        <w:rPr>
          <w:rFonts w:ascii="Times New Roman" w:eastAsia="Times New Roman" w:hAnsi="Times New Roman" w:cs="Times New Roman"/>
          <w:sz w:val="24"/>
          <w:szCs w:val="24"/>
        </w:rPr>
        <w:t xml:space="preserve"> (“The standards of the statute are not to be tested in isolation but must derive meaningful content from the purpose of the statute and its factual background and the statutory context in which the standards appear.”).</w:t>
      </w:r>
    </w:p>
    <w:p w14:paraId="7985DE76" w14:textId="77777777" w:rsidR="001C511A" w:rsidRDefault="001C511A" w:rsidP="00DD36B3">
      <w:pPr>
        <w:spacing w:after="0" w:line="240" w:lineRule="auto"/>
        <w:rPr>
          <w:rFonts w:ascii="Times New Roman" w:eastAsia="Times New Roman" w:hAnsi="Times New Roman" w:cs="Times New Roman"/>
          <w:sz w:val="24"/>
          <w:szCs w:val="24"/>
        </w:rPr>
      </w:pPr>
    </w:p>
    <w:p w14:paraId="4A964B81" w14:textId="4C627DEE"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“That non-blinkered brand of interpretation” generally bodes well for delegations. </w:t>
      </w:r>
      <w:hyperlink r:id="rId89" w:anchor="co_pp_sp_708_2126" w:history="1">
        <w:r w:rsidRPr="00DD36B3">
          <w:rPr>
            <w:rFonts w:ascii="Times New Roman" w:eastAsia="Times New Roman" w:hAnsi="Times New Roman" w:cs="Times New Roman"/>
            <w:i/>
            <w:iCs/>
            <w:color w:val="0000FF"/>
            <w:sz w:val="24"/>
            <w:szCs w:val="24"/>
            <w:u w:val="single"/>
          </w:rPr>
          <w:t>Id</w:t>
        </w:r>
        <w:r w:rsidRPr="00DD36B3">
          <w:rPr>
            <w:rFonts w:ascii="Times New Roman" w:eastAsia="Times New Roman" w:hAnsi="Times New Roman" w:cs="Times New Roman"/>
            <w:color w:val="0000FF"/>
            <w:sz w:val="24"/>
            <w:szCs w:val="24"/>
            <w:u w:val="single"/>
          </w:rPr>
          <w:t>. at 2126</w:t>
        </w:r>
      </w:hyperlink>
      <w:r w:rsidRPr="00DD36B3">
        <w:rPr>
          <w:rFonts w:ascii="Times New Roman" w:eastAsia="Times New Roman" w:hAnsi="Times New Roman" w:cs="Times New Roman"/>
          <w:sz w:val="24"/>
          <w:szCs w:val="24"/>
        </w:rPr>
        <w:t>.</w:t>
      </w:r>
    </w:p>
    <w:p w14:paraId="3ADAF363" w14:textId="17F509CD" w:rsidR="00DD36B3" w:rsidRDefault="00DD36B3"/>
    <w:p w14:paraId="2E85B884" w14:textId="78158F93" w:rsidR="00DD36B3" w:rsidRDefault="00DD36B3" w:rsidP="001C511A">
      <w:pPr>
        <w:jc w:val="center"/>
      </w:pPr>
      <w:r>
        <w:t>* * *</w:t>
      </w:r>
    </w:p>
    <w:p w14:paraId="7D4BB4E4"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The relevant caselaw drives those conclusions home. It bears repeating: The Court has found only two delegations to be unconstitutional. Ever. And none in more than eighty years. </w:t>
      </w:r>
      <w:r w:rsidRPr="00DD36B3">
        <w:rPr>
          <w:rFonts w:ascii="Times New Roman" w:eastAsia="Times New Roman" w:hAnsi="Times New Roman" w:cs="Times New Roman"/>
          <w:i/>
          <w:iCs/>
          <w:sz w:val="24"/>
          <w:szCs w:val="24"/>
        </w:rPr>
        <w:t>See</w:t>
      </w:r>
      <w:r w:rsidRPr="00DD36B3">
        <w:rPr>
          <w:rFonts w:ascii="Times New Roman" w:eastAsia="Times New Roman" w:hAnsi="Times New Roman" w:cs="Times New Roman"/>
          <w:sz w:val="24"/>
          <w:szCs w:val="24"/>
        </w:rPr>
        <w:t xml:space="preserve"> </w:t>
      </w:r>
      <w:hyperlink r:id="rId90" w:anchor="co_pp_sp_780_433" w:history="1">
        <w:r w:rsidRPr="00DD36B3">
          <w:rPr>
            <w:rFonts w:ascii="Times New Roman" w:eastAsia="Times New Roman" w:hAnsi="Times New Roman" w:cs="Times New Roman"/>
            <w:i/>
            <w:iCs/>
            <w:sz w:val="24"/>
            <w:szCs w:val="24"/>
          </w:rPr>
          <w:t>Pan. Ref.</w:t>
        </w:r>
        <w:r w:rsidRPr="00DD36B3">
          <w:rPr>
            <w:rFonts w:ascii="Times New Roman" w:eastAsia="Times New Roman" w:hAnsi="Times New Roman" w:cs="Times New Roman"/>
            <w:color w:val="0000FF"/>
            <w:sz w:val="24"/>
            <w:szCs w:val="24"/>
            <w:u w:val="single"/>
          </w:rPr>
          <w:t xml:space="preserve">, 293 U.S. at 433,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241</w:t>
        </w:r>
      </w:hyperlink>
      <w:r w:rsidRPr="00DD36B3">
        <w:rPr>
          <w:rFonts w:ascii="Times New Roman" w:eastAsia="Times New Roman" w:hAnsi="Times New Roman" w:cs="Times New Roman"/>
          <w:sz w:val="24"/>
          <w:szCs w:val="24"/>
        </w:rPr>
        <w:t xml:space="preserve">; </w:t>
      </w:r>
      <w:hyperlink r:id="rId91" w:anchor="co_pp_sp_780_542" w:history="1">
        <w:r w:rsidRPr="00DD36B3">
          <w:rPr>
            <w:rFonts w:ascii="Times New Roman" w:eastAsia="Times New Roman" w:hAnsi="Times New Roman" w:cs="Times New Roman"/>
            <w:i/>
            <w:iCs/>
            <w:sz w:val="24"/>
            <w:szCs w:val="24"/>
          </w:rPr>
          <w:t>Schechter</w:t>
        </w:r>
        <w:r w:rsidRPr="00DD36B3">
          <w:rPr>
            <w:rFonts w:ascii="Times New Roman" w:eastAsia="Times New Roman" w:hAnsi="Times New Roman" w:cs="Times New Roman"/>
            <w:color w:val="0000FF"/>
            <w:sz w:val="24"/>
            <w:szCs w:val="24"/>
            <w:u w:val="single"/>
          </w:rPr>
          <w:t xml:space="preserve">, 295 U.S. at 542,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837</w:t>
        </w:r>
      </w:hyperlink>
      <w:r w:rsidRPr="00DD36B3">
        <w:rPr>
          <w:rFonts w:ascii="Times New Roman" w:eastAsia="Times New Roman" w:hAnsi="Times New Roman" w:cs="Times New Roman"/>
          <w:sz w:val="24"/>
          <w:szCs w:val="24"/>
        </w:rPr>
        <w:t xml:space="preserve">. Considering those decisions, </w:t>
      </w:r>
      <w:proofErr w:type="gramStart"/>
      <w:r w:rsidRPr="00DD36B3">
        <w:rPr>
          <w:rFonts w:ascii="Times New Roman" w:eastAsia="Times New Roman" w:hAnsi="Times New Roman" w:cs="Times New Roman"/>
          <w:sz w:val="24"/>
          <w:szCs w:val="24"/>
        </w:rPr>
        <w:t>it's</w:t>
      </w:r>
      <w:proofErr w:type="gramEnd"/>
      <w:r w:rsidRPr="00DD36B3">
        <w:rPr>
          <w:rFonts w:ascii="Times New Roman" w:eastAsia="Times New Roman" w:hAnsi="Times New Roman" w:cs="Times New Roman"/>
          <w:sz w:val="24"/>
          <w:szCs w:val="24"/>
        </w:rPr>
        <w:t xml:space="preserve"> evident that we confront nothing similar here. Instead, the TCA's commission to the Secretary mirrors the delegation to the Attorney General of the Sex Offender Registration and Notification Act (“SORNA”), which the Court approved just last year. </w:t>
      </w:r>
      <w:r w:rsidRPr="00DD36B3">
        <w:rPr>
          <w:rFonts w:ascii="Times New Roman" w:eastAsia="Times New Roman" w:hAnsi="Times New Roman" w:cs="Times New Roman"/>
          <w:i/>
          <w:iCs/>
          <w:sz w:val="24"/>
          <w:szCs w:val="24"/>
        </w:rPr>
        <w:t>See</w:t>
      </w:r>
      <w:r w:rsidRPr="00DD36B3">
        <w:rPr>
          <w:rFonts w:ascii="Times New Roman" w:eastAsia="Times New Roman" w:hAnsi="Times New Roman" w:cs="Times New Roman"/>
          <w:sz w:val="24"/>
          <w:szCs w:val="24"/>
        </w:rPr>
        <w:t xml:space="preserve"> </w:t>
      </w:r>
      <w:hyperlink r:id="rId92" w:anchor="co_pp_sp_708_2121" w:history="1">
        <w:r w:rsidRPr="00DD36B3">
          <w:rPr>
            <w:rFonts w:ascii="Times New Roman" w:eastAsia="Times New Roman" w:hAnsi="Times New Roman" w:cs="Times New Roman"/>
            <w:i/>
            <w:iCs/>
            <w:sz w:val="24"/>
            <w:szCs w:val="24"/>
          </w:rPr>
          <w:t>Gundy</w:t>
        </w:r>
        <w:r w:rsidRPr="00DD36B3">
          <w:rPr>
            <w:rFonts w:ascii="Times New Roman" w:eastAsia="Times New Roman" w:hAnsi="Times New Roman" w:cs="Times New Roman"/>
            <w:color w:val="0000FF"/>
            <w:sz w:val="24"/>
            <w:szCs w:val="24"/>
            <w:u w:val="single"/>
          </w:rPr>
          <w:t>, 139 S. Ct. at 2121</w:t>
        </w:r>
      </w:hyperlink>
      <w:r w:rsidRPr="00DD36B3">
        <w:rPr>
          <w:rFonts w:ascii="Times New Roman" w:eastAsia="Times New Roman" w:hAnsi="Times New Roman" w:cs="Times New Roman"/>
          <w:sz w:val="24"/>
          <w:szCs w:val="24"/>
        </w:rPr>
        <w:t xml:space="preserve"> (plurality).</w:t>
      </w:r>
    </w:p>
    <w:p w14:paraId="5C677960" w14:textId="769ECF22" w:rsidR="00DD36B3" w:rsidRDefault="00DD36B3" w:rsidP="00DD36B3">
      <w:pPr>
        <w:spacing w:after="0" w:line="240" w:lineRule="auto"/>
        <w:rPr>
          <w:rFonts w:ascii="Times New Roman" w:eastAsia="Times New Roman" w:hAnsi="Times New Roman" w:cs="Times New Roman"/>
          <w:sz w:val="24"/>
          <w:szCs w:val="24"/>
          <w:vertAlign w:val="superscript"/>
        </w:rPr>
      </w:pPr>
      <w:r w:rsidRPr="00DD36B3">
        <w:rPr>
          <w:rFonts w:ascii="Times New Roman" w:eastAsia="Times New Roman" w:hAnsi="Times New Roman" w:cs="Times New Roman"/>
          <w:sz w:val="24"/>
          <w:szCs w:val="24"/>
        </w:rPr>
        <w:t xml:space="preserve">In </w:t>
      </w:r>
      <w:hyperlink r:id="rId93" w:history="1">
        <w:r w:rsidRPr="00DD36B3">
          <w:rPr>
            <w:rFonts w:ascii="Times New Roman" w:eastAsia="Times New Roman" w:hAnsi="Times New Roman" w:cs="Times New Roman"/>
            <w:i/>
            <w:iCs/>
            <w:sz w:val="24"/>
            <w:szCs w:val="24"/>
          </w:rPr>
          <w:t>Panama Refining</w:t>
        </w:r>
      </w:hyperlink>
      <w:r w:rsidRPr="00DD36B3">
        <w:rPr>
          <w:rFonts w:ascii="Times New Roman" w:eastAsia="Times New Roman" w:hAnsi="Times New Roman" w:cs="Times New Roman"/>
          <w:sz w:val="24"/>
          <w:szCs w:val="24"/>
        </w:rPr>
        <w:t xml:space="preserve"> and </w:t>
      </w:r>
      <w:hyperlink r:id="rId94" w:history="1">
        <w:r w:rsidRPr="00DD36B3">
          <w:rPr>
            <w:rFonts w:ascii="Times New Roman" w:eastAsia="Times New Roman" w:hAnsi="Times New Roman" w:cs="Times New Roman"/>
            <w:i/>
            <w:iCs/>
            <w:sz w:val="24"/>
            <w:szCs w:val="24"/>
          </w:rPr>
          <w:t>Schechter</w:t>
        </w:r>
      </w:hyperlink>
      <w:r w:rsidRPr="00DD36B3">
        <w:rPr>
          <w:rFonts w:ascii="Times New Roman" w:eastAsia="Times New Roman" w:hAnsi="Times New Roman" w:cs="Times New Roman"/>
          <w:sz w:val="24"/>
          <w:szCs w:val="24"/>
        </w:rPr>
        <w:t xml:space="preserve">, the Court invalidated two of the National Industrial Recovery Act's delegations to the President. In </w:t>
      </w:r>
      <w:hyperlink r:id="rId95" w:anchor="co_pp_sp_780_406" w:history="1">
        <w:r w:rsidRPr="00DD36B3">
          <w:rPr>
            <w:rFonts w:ascii="Times New Roman" w:eastAsia="Times New Roman" w:hAnsi="Times New Roman" w:cs="Times New Roman"/>
            <w:i/>
            <w:iCs/>
            <w:sz w:val="24"/>
            <w:szCs w:val="24"/>
          </w:rPr>
          <w:t>Panama Refining</w:t>
        </w:r>
        <w:r w:rsidRPr="00DD36B3">
          <w:rPr>
            <w:rFonts w:ascii="Times New Roman" w:eastAsia="Times New Roman" w:hAnsi="Times New Roman" w:cs="Times New Roman"/>
            <w:color w:val="0000FF"/>
            <w:sz w:val="24"/>
            <w:szCs w:val="24"/>
            <w:u w:val="single"/>
          </w:rPr>
          <w:t xml:space="preserve">, 293 U.S. at 406,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241</w:t>
        </w:r>
      </w:hyperlink>
      <w:r w:rsidRPr="00DD36B3">
        <w:rPr>
          <w:rFonts w:ascii="Times New Roman" w:eastAsia="Times New Roman" w:hAnsi="Times New Roman" w:cs="Times New Roman"/>
          <w:sz w:val="24"/>
          <w:szCs w:val="24"/>
        </w:rPr>
        <w:t xml:space="preserve">, the Court considered Section 9(c), which authorized the President “to prohibit the transportation in interstate and foreign commerce” of certain petroleum products. And </w:t>
      </w:r>
      <w:hyperlink r:id="rId96" w:anchor="co_pp_sp_780_521" w:history="1">
        <w:r w:rsidRPr="00DD36B3">
          <w:rPr>
            <w:rFonts w:ascii="Times New Roman" w:eastAsia="Times New Roman" w:hAnsi="Times New Roman" w:cs="Times New Roman"/>
            <w:i/>
            <w:iCs/>
            <w:sz w:val="24"/>
            <w:szCs w:val="24"/>
          </w:rPr>
          <w:t>Schechter</w:t>
        </w:r>
        <w:r w:rsidRPr="00DD36B3">
          <w:rPr>
            <w:rFonts w:ascii="Times New Roman" w:eastAsia="Times New Roman" w:hAnsi="Times New Roman" w:cs="Times New Roman"/>
            <w:color w:val="0000FF"/>
            <w:sz w:val="24"/>
            <w:szCs w:val="24"/>
            <w:u w:val="single"/>
          </w:rPr>
          <w:t xml:space="preserve">, 295 U.S. at 521–22,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837</w:t>
        </w:r>
      </w:hyperlink>
      <w:r w:rsidRPr="00DD36B3">
        <w:rPr>
          <w:rFonts w:ascii="Times New Roman" w:eastAsia="Times New Roman" w:hAnsi="Times New Roman" w:cs="Times New Roman"/>
          <w:sz w:val="24"/>
          <w:szCs w:val="24"/>
        </w:rPr>
        <w:t>, evaluated Section 3, which empowered “the President to approve ‘codes of fair competition’ ” that were submitted by “one or more trade or industrial associations or groups.” NIRA outlined exceedingly broad legislative purposes, including (1) “</w:t>
      </w:r>
      <w:proofErr w:type="spellStart"/>
      <w:r w:rsidRPr="00DD36B3">
        <w:rPr>
          <w:rFonts w:ascii="Times New Roman" w:eastAsia="Times New Roman" w:hAnsi="Times New Roman" w:cs="Times New Roman"/>
          <w:sz w:val="24"/>
          <w:szCs w:val="24"/>
        </w:rPr>
        <w:t>remov</w:t>
      </w:r>
      <w:proofErr w:type="spellEnd"/>
      <w:r w:rsidRPr="00DD36B3">
        <w:rPr>
          <w:rFonts w:ascii="Times New Roman" w:eastAsia="Times New Roman" w:hAnsi="Times New Roman" w:cs="Times New Roman"/>
          <w:sz w:val="24"/>
          <w:szCs w:val="24"/>
        </w:rPr>
        <w:t>[</w:t>
      </w:r>
      <w:proofErr w:type="spellStart"/>
      <w:r w:rsidRPr="00DD36B3">
        <w:rPr>
          <w:rFonts w:ascii="Times New Roman" w:eastAsia="Times New Roman" w:hAnsi="Times New Roman" w:cs="Times New Roman"/>
          <w:sz w:val="24"/>
          <w:szCs w:val="24"/>
        </w:rPr>
        <w:t>ing</w:t>
      </w:r>
      <w:proofErr w:type="spellEnd"/>
      <w:r w:rsidRPr="00DD36B3">
        <w:rPr>
          <w:rFonts w:ascii="Times New Roman" w:eastAsia="Times New Roman" w:hAnsi="Times New Roman" w:cs="Times New Roman"/>
          <w:sz w:val="24"/>
          <w:szCs w:val="24"/>
        </w:rPr>
        <w:t xml:space="preserve">] obstructions to the free flow of interstate and foreign commerce,” </w:t>
      </w:r>
      <w:hyperlink r:id="rId97" w:anchor="co_pp_sp_780_418" w:history="1">
        <w:r w:rsidRPr="00DD36B3">
          <w:rPr>
            <w:rFonts w:ascii="Times New Roman" w:eastAsia="Times New Roman" w:hAnsi="Times New Roman" w:cs="Times New Roman"/>
            <w:i/>
            <w:iCs/>
            <w:sz w:val="24"/>
            <w:szCs w:val="24"/>
          </w:rPr>
          <w:t>Pan. Ref.</w:t>
        </w:r>
        <w:r w:rsidRPr="00DD36B3">
          <w:rPr>
            <w:rFonts w:ascii="Times New Roman" w:eastAsia="Times New Roman" w:hAnsi="Times New Roman" w:cs="Times New Roman"/>
            <w:color w:val="0000FF"/>
            <w:sz w:val="24"/>
            <w:szCs w:val="24"/>
            <w:u w:val="single"/>
          </w:rPr>
          <w:t xml:space="preserve">, 293 U.S. at 418,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241</w:t>
        </w:r>
      </w:hyperlink>
      <w:r w:rsidRPr="00DD36B3">
        <w:rPr>
          <w:rFonts w:ascii="Times New Roman" w:eastAsia="Times New Roman" w:hAnsi="Times New Roman" w:cs="Times New Roman"/>
          <w:sz w:val="24"/>
          <w:szCs w:val="24"/>
        </w:rPr>
        <w:t xml:space="preserve">, and (2) disfavoring “monopolies [and] monopolistic practices,” </w:t>
      </w:r>
      <w:hyperlink r:id="rId98" w:anchor="co_pp_sp_780_523" w:history="1">
        <w:r w:rsidRPr="00DD36B3">
          <w:rPr>
            <w:rFonts w:ascii="Times New Roman" w:eastAsia="Times New Roman" w:hAnsi="Times New Roman" w:cs="Times New Roman"/>
            <w:i/>
            <w:iCs/>
            <w:sz w:val="24"/>
            <w:szCs w:val="24"/>
          </w:rPr>
          <w:t>Schechter</w:t>
        </w:r>
        <w:r w:rsidRPr="00DD36B3">
          <w:rPr>
            <w:rFonts w:ascii="Times New Roman" w:eastAsia="Times New Roman" w:hAnsi="Times New Roman" w:cs="Times New Roman"/>
            <w:color w:val="0000FF"/>
            <w:sz w:val="24"/>
            <w:szCs w:val="24"/>
            <w:u w:val="single"/>
          </w:rPr>
          <w:t xml:space="preserve">, 295 U.S. at 523,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837</w:t>
        </w:r>
      </w:hyperlink>
      <w:r w:rsidRPr="00DD36B3">
        <w:rPr>
          <w:rFonts w:ascii="Times New Roman" w:eastAsia="Times New Roman" w:hAnsi="Times New Roman" w:cs="Times New Roman"/>
          <w:sz w:val="24"/>
          <w:szCs w:val="24"/>
        </w:rPr>
        <w:t>. But in both cases, Congress erected no guide rails to limit how the President should exercise his authority.</w:t>
      </w:r>
      <w:hyperlink r:id="rId99" w:anchor="co_footnote_B00272051336180" w:history="1">
        <w:r w:rsidRPr="00DD36B3">
          <w:rPr>
            <w:rFonts w:ascii="Times New Roman" w:eastAsia="Times New Roman" w:hAnsi="Times New Roman" w:cs="Times New Roman"/>
            <w:color w:val="0000FF"/>
            <w:sz w:val="24"/>
            <w:szCs w:val="24"/>
            <w:u w:val="single"/>
            <w:vertAlign w:val="superscript"/>
          </w:rPr>
          <w:t>27</w:t>
        </w:r>
      </w:hyperlink>
    </w:p>
    <w:p w14:paraId="609965BD"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100" w:anchor="co_fnRef_B00272051336180_ID0EUCBI" w:history="1">
        <w:r w:rsidRPr="001C511A">
          <w:rPr>
            <w:rFonts w:ascii="Times New Roman" w:eastAsia="Times New Roman" w:hAnsi="Times New Roman" w:cs="Times New Roman"/>
            <w:color w:val="0000FF"/>
            <w:sz w:val="24"/>
            <w:szCs w:val="24"/>
            <w:u w:val="single"/>
          </w:rPr>
          <w:t>27</w:t>
        </w:r>
      </w:hyperlink>
    </w:p>
    <w:p w14:paraId="77E0EE94" w14:textId="77777777" w:rsidR="001C511A" w:rsidRPr="001C511A" w:rsidRDefault="001C511A" w:rsidP="001C511A">
      <w:pPr>
        <w:spacing w:after="0" w:line="240" w:lineRule="auto"/>
        <w:rPr>
          <w:rFonts w:ascii="Times New Roman" w:eastAsia="Times New Roman" w:hAnsi="Times New Roman" w:cs="Times New Roman"/>
          <w:sz w:val="24"/>
          <w:szCs w:val="24"/>
        </w:rPr>
      </w:pPr>
      <w:r w:rsidRPr="001C511A">
        <w:rPr>
          <w:rFonts w:ascii="Times New Roman" w:eastAsia="Times New Roman" w:hAnsi="Times New Roman" w:cs="Times New Roman"/>
          <w:i/>
          <w:iCs/>
          <w:sz w:val="24"/>
          <w:szCs w:val="24"/>
        </w:rPr>
        <w:t>See</w:t>
      </w:r>
      <w:r w:rsidRPr="001C511A">
        <w:rPr>
          <w:rFonts w:ascii="Times New Roman" w:eastAsia="Times New Roman" w:hAnsi="Times New Roman" w:cs="Times New Roman"/>
          <w:sz w:val="24"/>
          <w:szCs w:val="24"/>
        </w:rPr>
        <w:t xml:space="preserve"> </w:t>
      </w:r>
      <w:hyperlink r:id="rId101" w:anchor="co_pp_sp_780_417" w:history="1">
        <w:r w:rsidRPr="001C511A">
          <w:rPr>
            <w:rFonts w:ascii="Times New Roman" w:eastAsia="Times New Roman" w:hAnsi="Times New Roman" w:cs="Times New Roman"/>
            <w:i/>
            <w:iCs/>
            <w:color w:val="0000FF"/>
            <w:sz w:val="24"/>
            <w:szCs w:val="24"/>
            <w:u w:val="single"/>
          </w:rPr>
          <w:t>Pan. Ref.</w:t>
        </w:r>
        <w:r w:rsidRPr="001C511A">
          <w:rPr>
            <w:rFonts w:ascii="Times New Roman" w:eastAsia="Times New Roman" w:hAnsi="Times New Roman" w:cs="Times New Roman"/>
            <w:color w:val="0000FF"/>
            <w:sz w:val="24"/>
            <w:szCs w:val="24"/>
            <w:u w:val="single"/>
          </w:rPr>
          <w:t xml:space="preserve">, 293 U.S. at 417, 55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241</w:t>
        </w:r>
      </w:hyperlink>
      <w:r w:rsidRPr="001C511A">
        <w:rPr>
          <w:rFonts w:ascii="Times New Roman" w:eastAsia="Times New Roman" w:hAnsi="Times New Roman" w:cs="Times New Roman"/>
          <w:sz w:val="24"/>
          <w:szCs w:val="24"/>
        </w:rPr>
        <w:t xml:space="preserve">−418 (observing that Congress “la[id] down no policy of limitation” in Section 9(c), and its general policy statement “contain[ed] nothing as to the circumstances or conditions in which transportation of petroleum or petroleum products should be prohibited”); </w:t>
      </w:r>
      <w:hyperlink r:id="rId102" w:anchor="co_pp_sp_780_541" w:history="1">
        <w:r w:rsidRPr="001C511A">
          <w:rPr>
            <w:rFonts w:ascii="Times New Roman" w:eastAsia="Times New Roman" w:hAnsi="Times New Roman" w:cs="Times New Roman"/>
            <w:i/>
            <w:iCs/>
            <w:color w:val="0000FF"/>
            <w:sz w:val="24"/>
            <w:szCs w:val="24"/>
            <w:u w:val="single"/>
          </w:rPr>
          <w:t>Schechter</w:t>
        </w:r>
        <w:r w:rsidRPr="001C511A">
          <w:rPr>
            <w:rFonts w:ascii="Times New Roman" w:eastAsia="Times New Roman" w:hAnsi="Times New Roman" w:cs="Times New Roman"/>
            <w:color w:val="0000FF"/>
            <w:sz w:val="24"/>
            <w:szCs w:val="24"/>
            <w:u w:val="single"/>
          </w:rPr>
          <w:t xml:space="preserve">, 295 U.S. at 541, 55 </w:t>
        </w:r>
        <w:proofErr w:type="spellStart"/>
        <w:r w:rsidRPr="001C511A">
          <w:rPr>
            <w:rFonts w:ascii="Times New Roman" w:eastAsia="Times New Roman" w:hAnsi="Times New Roman" w:cs="Times New Roman"/>
            <w:color w:val="0000FF"/>
            <w:sz w:val="24"/>
            <w:szCs w:val="24"/>
            <w:u w:val="single"/>
          </w:rPr>
          <w:t>S.Ct</w:t>
        </w:r>
        <w:proofErr w:type="spellEnd"/>
        <w:r w:rsidRPr="001C511A">
          <w:rPr>
            <w:rFonts w:ascii="Times New Roman" w:eastAsia="Times New Roman" w:hAnsi="Times New Roman" w:cs="Times New Roman"/>
            <w:color w:val="0000FF"/>
            <w:sz w:val="24"/>
            <w:szCs w:val="24"/>
            <w:u w:val="single"/>
          </w:rPr>
          <w:t>. 837</w:t>
        </w:r>
      </w:hyperlink>
      <w:r w:rsidRPr="001C511A">
        <w:rPr>
          <w:rFonts w:ascii="Times New Roman" w:eastAsia="Times New Roman" w:hAnsi="Times New Roman" w:cs="Times New Roman"/>
          <w:sz w:val="24"/>
          <w:szCs w:val="24"/>
        </w:rPr>
        <w:t xml:space="preserve"> (noting that that Section 3 was “without precedent,” because it “sets up no standards” to guide the President's exercise of his authority outside of NIRA's “general aims of rehabilitation, correction, and expansion” of the economy).</w:t>
      </w:r>
    </w:p>
    <w:p w14:paraId="457D3048" w14:textId="77777777" w:rsidR="001C511A" w:rsidRPr="00DD36B3" w:rsidRDefault="001C511A" w:rsidP="00DD36B3">
      <w:pPr>
        <w:spacing w:after="0" w:line="240" w:lineRule="auto"/>
        <w:rPr>
          <w:rFonts w:ascii="Times New Roman" w:eastAsia="Times New Roman" w:hAnsi="Times New Roman" w:cs="Times New Roman"/>
          <w:sz w:val="24"/>
          <w:szCs w:val="24"/>
        </w:rPr>
      </w:pPr>
    </w:p>
    <w:p w14:paraId="08A83D1B"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The Court found both delegations to be unconstitutional. </w:t>
      </w:r>
      <w:r w:rsidRPr="00DD36B3">
        <w:rPr>
          <w:rFonts w:ascii="Times New Roman" w:eastAsia="Times New Roman" w:hAnsi="Times New Roman" w:cs="Times New Roman"/>
          <w:i/>
          <w:iCs/>
          <w:sz w:val="24"/>
          <w:szCs w:val="24"/>
        </w:rPr>
        <w:t>See</w:t>
      </w:r>
      <w:r w:rsidRPr="00DD36B3">
        <w:rPr>
          <w:rFonts w:ascii="Times New Roman" w:eastAsia="Times New Roman" w:hAnsi="Times New Roman" w:cs="Times New Roman"/>
          <w:sz w:val="24"/>
          <w:szCs w:val="24"/>
        </w:rPr>
        <w:t xml:space="preserve"> </w:t>
      </w:r>
      <w:hyperlink r:id="rId103" w:anchor="co_pp_sp_780_433" w:history="1">
        <w:r w:rsidRPr="00DD36B3">
          <w:rPr>
            <w:rFonts w:ascii="Times New Roman" w:eastAsia="Times New Roman" w:hAnsi="Times New Roman" w:cs="Times New Roman"/>
            <w:i/>
            <w:iCs/>
            <w:sz w:val="24"/>
            <w:szCs w:val="24"/>
          </w:rPr>
          <w:t>Pan. Ref.</w:t>
        </w:r>
        <w:r w:rsidRPr="00DD36B3">
          <w:rPr>
            <w:rFonts w:ascii="Times New Roman" w:eastAsia="Times New Roman" w:hAnsi="Times New Roman" w:cs="Times New Roman"/>
            <w:color w:val="0000FF"/>
            <w:sz w:val="24"/>
            <w:szCs w:val="24"/>
            <w:u w:val="single"/>
          </w:rPr>
          <w:t xml:space="preserve">, 293 U.S. at 433,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241</w:t>
        </w:r>
      </w:hyperlink>
      <w:r w:rsidRPr="00DD36B3">
        <w:rPr>
          <w:rFonts w:ascii="Times New Roman" w:eastAsia="Times New Roman" w:hAnsi="Times New Roman" w:cs="Times New Roman"/>
          <w:sz w:val="24"/>
          <w:szCs w:val="24"/>
        </w:rPr>
        <w:t xml:space="preserve">; </w:t>
      </w:r>
      <w:hyperlink r:id="rId104" w:anchor="co_pp_sp_780_542" w:history="1">
        <w:r w:rsidRPr="00DD36B3">
          <w:rPr>
            <w:rFonts w:ascii="Times New Roman" w:eastAsia="Times New Roman" w:hAnsi="Times New Roman" w:cs="Times New Roman"/>
            <w:i/>
            <w:iCs/>
            <w:sz w:val="24"/>
            <w:szCs w:val="24"/>
          </w:rPr>
          <w:t>Schechter</w:t>
        </w:r>
        <w:r w:rsidRPr="00DD36B3">
          <w:rPr>
            <w:rFonts w:ascii="Times New Roman" w:eastAsia="Times New Roman" w:hAnsi="Times New Roman" w:cs="Times New Roman"/>
            <w:color w:val="0000FF"/>
            <w:sz w:val="24"/>
            <w:szCs w:val="24"/>
            <w:u w:val="single"/>
          </w:rPr>
          <w:t xml:space="preserve">, 295 U.S. at 542, 55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837</w:t>
        </w:r>
      </w:hyperlink>
      <w:r w:rsidRPr="00DD36B3">
        <w:rPr>
          <w:rFonts w:ascii="Times New Roman" w:eastAsia="Times New Roman" w:hAnsi="Times New Roman" w:cs="Times New Roman"/>
          <w:sz w:val="24"/>
          <w:szCs w:val="24"/>
        </w:rPr>
        <w:t xml:space="preserve">. That's not surprising, given that NIRA placed almost no limits on how the President—and in </w:t>
      </w:r>
      <w:hyperlink r:id="rId105" w:history="1">
        <w:r w:rsidRPr="00DD36B3">
          <w:rPr>
            <w:rFonts w:ascii="Times New Roman" w:eastAsia="Times New Roman" w:hAnsi="Times New Roman" w:cs="Times New Roman"/>
            <w:i/>
            <w:iCs/>
            <w:sz w:val="24"/>
            <w:szCs w:val="24"/>
          </w:rPr>
          <w:t>Schechter</w:t>
        </w:r>
      </w:hyperlink>
      <w:r w:rsidRPr="00DD36B3">
        <w:rPr>
          <w:rFonts w:ascii="Times New Roman" w:eastAsia="Times New Roman" w:hAnsi="Times New Roman" w:cs="Times New Roman"/>
          <w:sz w:val="24"/>
          <w:szCs w:val="24"/>
        </w:rPr>
        <w:t xml:space="preserve">’s case, private groups—could wield their delegated authority. Section 9(c) “provided literally no guidance for the exercise of discretion,” and Section 3 “conferred authority to regulate the entire economy on the basis of no </w:t>
      </w:r>
      <w:r w:rsidRPr="00DD36B3">
        <w:rPr>
          <w:rFonts w:ascii="Times New Roman" w:eastAsia="Times New Roman" w:hAnsi="Times New Roman" w:cs="Times New Roman"/>
          <w:sz w:val="24"/>
          <w:szCs w:val="24"/>
        </w:rPr>
        <w:lastRenderedPageBreak/>
        <w:t xml:space="preserve">more precise a standard than stimulating the economy by assuring ‘fair competition.’ ” </w:t>
      </w:r>
      <w:hyperlink r:id="rId106" w:anchor="co_pp_sp_780_474" w:history="1">
        <w:r w:rsidRPr="00DD36B3">
          <w:rPr>
            <w:rFonts w:ascii="Times New Roman" w:eastAsia="Times New Roman" w:hAnsi="Times New Roman" w:cs="Times New Roman"/>
            <w:i/>
            <w:iCs/>
            <w:sz w:val="24"/>
            <w:szCs w:val="24"/>
          </w:rPr>
          <w:t>Am. Trucking</w:t>
        </w:r>
        <w:r w:rsidRPr="00DD36B3">
          <w:rPr>
            <w:rFonts w:ascii="Times New Roman" w:eastAsia="Times New Roman" w:hAnsi="Times New Roman" w:cs="Times New Roman"/>
            <w:color w:val="0000FF"/>
            <w:sz w:val="24"/>
            <w:szCs w:val="24"/>
            <w:u w:val="single"/>
          </w:rPr>
          <w:t xml:space="preserve">, 531 U.S. at 474, 121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903</w:t>
        </w:r>
      </w:hyperlink>
      <w:r w:rsidRPr="00DD36B3">
        <w:rPr>
          <w:rFonts w:ascii="Times New Roman" w:eastAsia="Times New Roman" w:hAnsi="Times New Roman" w:cs="Times New Roman"/>
          <w:sz w:val="24"/>
          <w:szCs w:val="24"/>
        </w:rPr>
        <w:t>.</w:t>
      </w:r>
    </w:p>
    <w:p w14:paraId="393CF77F"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By contrast, the TCA's delegation to the Secretary is circumscribed, and Congress provided far more signposts to direct the exercise of the authority it delegated. The TCA's targeted statements of purpose and voluminous fact-finding make that incontrovertible.</w:t>
      </w:r>
    </w:p>
    <w:p w14:paraId="72EF8FEF"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Instead, the TCA's deputizing of the Secretary mirrors SORNA's delegation to the Attorney General. In enacting SORNA, *447 Congress sought “to combat sex crimes and crimes against children” by creating </w:t>
      </w:r>
      <w:proofErr w:type="gramStart"/>
      <w:r w:rsidRPr="00DD36B3">
        <w:rPr>
          <w:rFonts w:ascii="Times New Roman" w:eastAsia="Times New Roman" w:hAnsi="Times New Roman" w:cs="Times New Roman"/>
          <w:sz w:val="24"/>
          <w:szCs w:val="24"/>
        </w:rPr>
        <w:t>“ ‘</w:t>
      </w:r>
      <w:proofErr w:type="gramEnd"/>
      <w:r w:rsidRPr="00DD36B3">
        <w:rPr>
          <w:rFonts w:ascii="Times New Roman" w:eastAsia="Times New Roman" w:hAnsi="Times New Roman" w:cs="Times New Roman"/>
          <w:sz w:val="24"/>
          <w:szCs w:val="24"/>
        </w:rPr>
        <w:t xml:space="preserve">more uniform and effective’ ... sex-offender registration systems.” </w:t>
      </w:r>
      <w:hyperlink r:id="rId107" w:anchor="co_pp_sp_708_2121" w:history="1">
        <w:r w:rsidRPr="00DD36B3">
          <w:rPr>
            <w:rFonts w:ascii="Times New Roman" w:eastAsia="Times New Roman" w:hAnsi="Times New Roman" w:cs="Times New Roman"/>
            <w:i/>
            <w:iCs/>
            <w:sz w:val="24"/>
            <w:szCs w:val="24"/>
          </w:rPr>
          <w:t>Gundy</w:t>
        </w:r>
        <w:r w:rsidRPr="00DD36B3">
          <w:rPr>
            <w:rFonts w:ascii="Times New Roman" w:eastAsia="Times New Roman" w:hAnsi="Times New Roman" w:cs="Times New Roman"/>
            <w:color w:val="0000FF"/>
            <w:sz w:val="24"/>
            <w:szCs w:val="24"/>
            <w:u w:val="single"/>
          </w:rPr>
          <w:t>, 139 S. Ct. at 2121</w:t>
        </w:r>
      </w:hyperlink>
      <w:r w:rsidRPr="00DD36B3">
        <w:rPr>
          <w:rFonts w:ascii="Times New Roman" w:eastAsia="Times New Roman" w:hAnsi="Times New Roman" w:cs="Times New Roman"/>
          <w:sz w:val="24"/>
          <w:szCs w:val="24"/>
        </w:rPr>
        <w:t xml:space="preserve"> (plurality) (quotation marks omitted). For sex offenders convicted after SORNA, the statute provided a detailed framework outlining their obligations to register. </w:t>
      </w:r>
      <w:hyperlink r:id="rId108" w:anchor="co_pp_sp_708_2122" w:history="1">
        <w:r w:rsidRPr="00DD36B3">
          <w:rPr>
            <w:rFonts w:ascii="Times New Roman" w:eastAsia="Times New Roman" w:hAnsi="Times New Roman" w:cs="Times New Roman"/>
            <w:i/>
            <w:iCs/>
            <w:sz w:val="24"/>
            <w:szCs w:val="24"/>
          </w:rPr>
          <w:t>Id</w:t>
        </w:r>
        <w:r w:rsidRPr="00DD36B3">
          <w:rPr>
            <w:rFonts w:ascii="Times New Roman" w:eastAsia="Times New Roman" w:hAnsi="Times New Roman" w:cs="Times New Roman"/>
            <w:color w:val="0000FF"/>
            <w:sz w:val="24"/>
            <w:szCs w:val="24"/>
            <w:u w:val="single"/>
          </w:rPr>
          <w:t>. at 2122</w:t>
        </w:r>
      </w:hyperlink>
      <w:r w:rsidRPr="00DD36B3">
        <w:rPr>
          <w:rFonts w:ascii="Times New Roman" w:eastAsia="Times New Roman" w:hAnsi="Times New Roman" w:cs="Times New Roman"/>
          <w:sz w:val="24"/>
          <w:szCs w:val="24"/>
        </w:rPr>
        <w:t xml:space="preserve">. SORNA </w:t>
      </w:r>
      <w:proofErr w:type="gramStart"/>
      <w:r w:rsidRPr="00DD36B3">
        <w:rPr>
          <w:rFonts w:ascii="Times New Roman" w:eastAsia="Times New Roman" w:hAnsi="Times New Roman" w:cs="Times New Roman"/>
          <w:sz w:val="24"/>
          <w:szCs w:val="24"/>
        </w:rPr>
        <w:t>didn't</w:t>
      </w:r>
      <w:proofErr w:type="gramEnd"/>
      <w:r w:rsidRPr="00DD36B3">
        <w:rPr>
          <w:rFonts w:ascii="Times New Roman" w:eastAsia="Times New Roman" w:hAnsi="Times New Roman" w:cs="Times New Roman"/>
          <w:sz w:val="24"/>
          <w:szCs w:val="24"/>
        </w:rPr>
        <w:t xml:space="preserve"> specify, however, how it would apply to pre-Act offenders, leaving that decision up to the Attorney General:</w:t>
      </w:r>
    </w:p>
    <w:p w14:paraId="6B71CAFE" w14:textId="77777777" w:rsidR="00DD36B3" w:rsidRPr="00DD36B3" w:rsidRDefault="00DD36B3" w:rsidP="00DD36B3">
      <w:pPr>
        <w:spacing w:after="10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The Attorney General shall have the authority to specify the applicability of the requirements of this subchapter to sex offenders convicted before the enactment of this chapter ... and to prescribe rules for the registration of any such sex offenders....</w:t>
      </w:r>
    </w:p>
    <w:p w14:paraId="72204598" w14:textId="77777777" w:rsidR="001C511A" w:rsidRDefault="00DD36B3" w:rsidP="00DD36B3">
      <w:pPr>
        <w:spacing w:after="0" w:line="240" w:lineRule="auto"/>
        <w:rPr>
          <w:rFonts w:ascii="Times New Roman" w:eastAsia="Times New Roman" w:hAnsi="Times New Roman" w:cs="Times New Roman"/>
          <w:sz w:val="24"/>
          <w:szCs w:val="24"/>
          <w:vertAlign w:val="superscript"/>
        </w:rPr>
      </w:pPr>
      <w:hyperlink r:id="rId109" w:anchor="co_pp_5ba1000067d06" w:history="1">
        <w:r w:rsidRPr="00DD36B3">
          <w:rPr>
            <w:rFonts w:ascii="Times New Roman" w:eastAsia="Times New Roman" w:hAnsi="Times New Roman" w:cs="Times New Roman"/>
            <w:color w:val="0000FF"/>
            <w:sz w:val="24"/>
            <w:szCs w:val="24"/>
            <w:u w:val="single"/>
          </w:rPr>
          <w:t>34 U.S.C. § 20913(d)</w:t>
        </w:r>
      </w:hyperlink>
      <w:r w:rsidRPr="00DD36B3">
        <w:rPr>
          <w:rFonts w:ascii="Times New Roman" w:eastAsia="Times New Roman" w:hAnsi="Times New Roman" w:cs="Times New Roman"/>
          <w:sz w:val="24"/>
          <w:szCs w:val="24"/>
        </w:rPr>
        <w:t>. But beyond the text of that provision, the plurality observed that SORNA's purposes,</w:t>
      </w:r>
      <w:hyperlink r:id="rId110" w:anchor="co_footnote_B00282051336180" w:history="1">
        <w:r w:rsidRPr="00DD36B3">
          <w:rPr>
            <w:rFonts w:ascii="Times New Roman" w:eastAsia="Times New Roman" w:hAnsi="Times New Roman" w:cs="Times New Roman"/>
            <w:color w:val="0000FF"/>
            <w:sz w:val="24"/>
            <w:szCs w:val="24"/>
            <w:u w:val="single"/>
            <w:vertAlign w:val="superscript"/>
          </w:rPr>
          <w:t>28</w:t>
        </w:r>
      </w:hyperlink>
    </w:p>
    <w:p w14:paraId="59F84D3F"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111" w:anchor="co_fnRef_B00282051336180_ID0ELLBI" w:history="1">
        <w:r w:rsidRPr="001C511A">
          <w:rPr>
            <w:rFonts w:ascii="Times New Roman" w:eastAsia="Times New Roman" w:hAnsi="Times New Roman" w:cs="Times New Roman"/>
            <w:color w:val="0000FF"/>
            <w:sz w:val="24"/>
            <w:szCs w:val="24"/>
            <w:u w:val="single"/>
          </w:rPr>
          <w:t>28</w:t>
        </w:r>
      </w:hyperlink>
    </w:p>
    <w:p w14:paraId="25B83F28" w14:textId="77777777" w:rsidR="001C511A" w:rsidRPr="001C511A" w:rsidRDefault="001C511A" w:rsidP="001C511A">
      <w:pPr>
        <w:spacing w:after="0" w:line="240" w:lineRule="auto"/>
        <w:rPr>
          <w:rFonts w:ascii="Times New Roman" w:eastAsia="Times New Roman" w:hAnsi="Times New Roman" w:cs="Times New Roman"/>
          <w:sz w:val="24"/>
          <w:szCs w:val="24"/>
        </w:rPr>
      </w:pPr>
      <w:r w:rsidRPr="001C511A">
        <w:rPr>
          <w:rFonts w:ascii="Times New Roman" w:eastAsia="Times New Roman" w:hAnsi="Times New Roman" w:cs="Times New Roman"/>
          <w:sz w:val="24"/>
          <w:szCs w:val="24"/>
        </w:rPr>
        <w:t xml:space="preserve">Like the TCA's, SORNA's purposes were enacted as part of the positive law. </w:t>
      </w:r>
      <w:r w:rsidRPr="001C511A">
        <w:rPr>
          <w:rFonts w:ascii="Times New Roman" w:eastAsia="Times New Roman" w:hAnsi="Times New Roman" w:cs="Times New Roman"/>
          <w:i/>
          <w:iCs/>
          <w:sz w:val="24"/>
          <w:szCs w:val="24"/>
        </w:rPr>
        <w:t>See</w:t>
      </w:r>
      <w:hyperlink r:id="rId112" w:history="1">
        <w:r w:rsidRPr="001C511A">
          <w:rPr>
            <w:rFonts w:ascii="Times New Roman" w:eastAsia="Times New Roman" w:hAnsi="Times New Roman" w:cs="Times New Roman"/>
            <w:color w:val="0000FF"/>
            <w:sz w:val="24"/>
            <w:szCs w:val="24"/>
            <w:u w:val="single"/>
          </w:rPr>
          <w:t xml:space="preserve"> Pub. L. No. 109–248, § 102, 120 Stat. 587</w:t>
        </w:r>
      </w:hyperlink>
      <w:r w:rsidRPr="001C511A">
        <w:rPr>
          <w:rFonts w:ascii="Times New Roman" w:eastAsia="Times New Roman" w:hAnsi="Times New Roman" w:cs="Times New Roman"/>
          <w:sz w:val="24"/>
          <w:szCs w:val="24"/>
        </w:rPr>
        <w:t xml:space="preserve">, 590–91 (2006) (codified at </w:t>
      </w:r>
      <w:hyperlink r:id="rId113" w:history="1">
        <w:r w:rsidRPr="001C511A">
          <w:rPr>
            <w:rFonts w:ascii="Times New Roman" w:eastAsia="Times New Roman" w:hAnsi="Times New Roman" w:cs="Times New Roman"/>
            <w:color w:val="0000FF"/>
            <w:sz w:val="24"/>
            <w:szCs w:val="24"/>
            <w:u w:val="single"/>
          </w:rPr>
          <w:t>34 U.S.C. § 20901</w:t>
        </w:r>
      </w:hyperlink>
      <w:r w:rsidRPr="001C511A">
        <w:rPr>
          <w:rFonts w:ascii="Times New Roman" w:eastAsia="Times New Roman" w:hAnsi="Times New Roman" w:cs="Times New Roman"/>
          <w:sz w:val="24"/>
          <w:szCs w:val="24"/>
        </w:rPr>
        <w:t>).</w:t>
      </w:r>
    </w:p>
    <w:p w14:paraId="2BD44843" w14:textId="77777777" w:rsidR="001C511A" w:rsidRDefault="001C511A" w:rsidP="00DD36B3">
      <w:pPr>
        <w:spacing w:after="0" w:line="240" w:lineRule="auto"/>
        <w:rPr>
          <w:rFonts w:ascii="Times New Roman" w:eastAsia="Times New Roman" w:hAnsi="Times New Roman" w:cs="Times New Roman"/>
          <w:sz w:val="24"/>
          <w:szCs w:val="24"/>
          <w:vertAlign w:val="superscript"/>
        </w:rPr>
      </w:pPr>
    </w:p>
    <w:p w14:paraId="07856631" w14:textId="5B1ABD12"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 statutory context, and legislative history all pointed in one direction: Congress meant for SORNA to apply to pre-Act offenders as soon as feasible. </w:t>
      </w:r>
      <w:hyperlink r:id="rId114" w:anchor="co_pp_sp_708_2126" w:history="1">
        <w:r w:rsidRPr="00DD36B3">
          <w:rPr>
            <w:rFonts w:ascii="Times New Roman" w:eastAsia="Times New Roman" w:hAnsi="Times New Roman" w:cs="Times New Roman"/>
            <w:i/>
            <w:iCs/>
            <w:sz w:val="24"/>
            <w:szCs w:val="24"/>
          </w:rPr>
          <w:t>Gundy</w:t>
        </w:r>
        <w:r w:rsidRPr="00DD36B3">
          <w:rPr>
            <w:rFonts w:ascii="Times New Roman" w:eastAsia="Times New Roman" w:hAnsi="Times New Roman" w:cs="Times New Roman"/>
            <w:color w:val="0000FF"/>
            <w:sz w:val="24"/>
            <w:szCs w:val="24"/>
            <w:u w:val="single"/>
          </w:rPr>
          <w:t>, 139 S. Ct. at 2126–29</w:t>
        </w:r>
      </w:hyperlink>
      <w:r w:rsidRPr="00DD36B3">
        <w:rPr>
          <w:rFonts w:ascii="Times New Roman" w:eastAsia="Times New Roman" w:hAnsi="Times New Roman" w:cs="Times New Roman"/>
          <w:sz w:val="24"/>
          <w:szCs w:val="24"/>
        </w:rPr>
        <w:t xml:space="preserve"> (plurality). Given that backdrop, the plurality had little trouble determining that SORNA's delegation was constitutionally permissible. </w:t>
      </w:r>
      <w:r w:rsidRPr="00DD36B3">
        <w:rPr>
          <w:rFonts w:ascii="Times New Roman" w:eastAsia="Times New Roman" w:hAnsi="Times New Roman" w:cs="Times New Roman"/>
          <w:i/>
          <w:iCs/>
          <w:sz w:val="24"/>
          <w:szCs w:val="24"/>
        </w:rPr>
        <w:t>See</w:t>
      </w:r>
      <w:r w:rsidRPr="00DD36B3">
        <w:rPr>
          <w:rFonts w:ascii="Times New Roman" w:eastAsia="Times New Roman" w:hAnsi="Times New Roman" w:cs="Times New Roman"/>
          <w:sz w:val="24"/>
          <w:szCs w:val="24"/>
        </w:rPr>
        <w:t xml:space="preserve"> </w:t>
      </w:r>
      <w:hyperlink r:id="rId115" w:anchor="co_pp_sp_708_2129" w:history="1">
        <w:r w:rsidRPr="00DD36B3">
          <w:rPr>
            <w:rFonts w:ascii="Times New Roman" w:eastAsia="Times New Roman" w:hAnsi="Times New Roman" w:cs="Times New Roman"/>
            <w:i/>
            <w:iCs/>
            <w:sz w:val="24"/>
            <w:szCs w:val="24"/>
          </w:rPr>
          <w:t>id</w:t>
        </w:r>
        <w:r w:rsidRPr="00DD36B3">
          <w:rPr>
            <w:rFonts w:ascii="Times New Roman" w:eastAsia="Times New Roman" w:hAnsi="Times New Roman" w:cs="Times New Roman"/>
            <w:color w:val="0000FF"/>
            <w:sz w:val="24"/>
            <w:szCs w:val="24"/>
            <w:u w:val="single"/>
          </w:rPr>
          <w:t>. at 2129–30</w:t>
        </w:r>
      </w:hyperlink>
      <w:r w:rsidRPr="00DD36B3">
        <w:rPr>
          <w:rFonts w:ascii="Times New Roman" w:eastAsia="Times New Roman" w:hAnsi="Times New Roman" w:cs="Times New Roman"/>
          <w:sz w:val="24"/>
          <w:szCs w:val="24"/>
        </w:rPr>
        <w:t>.</w:t>
      </w:r>
    </w:p>
    <w:p w14:paraId="6080D095" w14:textId="77777777" w:rsidR="001C511A" w:rsidRDefault="00DD36B3" w:rsidP="00DD36B3">
      <w:pPr>
        <w:spacing w:after="0" w:line="240" w:lineRule="auto"/>
        <w:rPr>
          <w:rFonts w:ascii="Times New Roman" w:eastAsia="Times New Roman" w:hAnsi="Times New Roman" w:cs="Times New Roman"/>
          <w:sz w:val="24"/>
          <w:szCs w:val="24"/>
          <w:vertAlign w:val="superscript"/>
        </w:rPr>
      </w:pPr>
      <w:r w:rsidRPr="00DD36B3">
        <w:rPr>
          <w:rFonts w:ascii="Times New Roman" w:eastAsia="Times New Roman" w:hAnsi="Times New Roman" w:cs="Times New Roman"/>
          <w:sz w:val="24"/>
          <w:szCs w:val="24"/>
        </w:rPr>
        <w:t xml:space="preserve">In all material respects the TCA's statutory scheme parallels SORNA's. Both SORNA and the TCA established detailed regulatory frameworks that automatically applied to certain classes of persons or products. In both statutes, Congress delegated to an executive branch official the power to determine whether those requirements applied to other non-covered classes. And in both instances, Congress outlined specific purposes to inform the executive officer's exercise of the discretion so afforded. Although a less-than-full-strength Court fractured in </w:t>
      </w:r>
      <w:hyperlink r:id="rId116" w:history="1">
        <w:r w:rsidRPr="00DD36B3">
          <w:rPr>
            <w:rFonts w:ascii="Times New Roman" w:eastAsia="Times New Roman" w:hAnsi="Times New Roman" w:cs="Times New Roman"/>
            <w:i/>
            <w:iCs/>
            <w:sz w:val="24"/>
            <w:szCs w:val="24"/>
          </w:rPr>
          <w:t>Gundy</w:t>
        </w:r>
      </w:hyperlink>
      <w:r w:rsidRPr="00DD36B3">
        <w:rPr>
          <w:rFonts w:ascii="Times New Roman" w:eastAsia="Times New Roman" w:hAnsi="Times New Roman" w:cs="Times New Roman"/>
          <w:sz w:val="24"/>
          <w:szCs w:val="24"/>
        </w:rPr>
        <w:t>, five Justices elected to affirm SORNA's delegation.</w:t>
      </w:r>
      <w:hyperlink r:id="rId117" w:anchor="co_footnote_B00292051336180" w:history="1">
        <w:r w:rsidRPr="00DD36B3">
          <w:rPr>
            <w:rFonts w:ascii="Times New Roman" w:eastAsia="Times New Roman" w:hAnsi="Times New Roman" w:cs="Times New Roman"/>
            <w:color w:val="0000FF"/>
            <w:sz w:val="24"/>
            <w:szCs w:val="24"/>
            <w:u w:val="single"/>
            <w:vertAlign w:val="superscript"/>
          </w:rPr>
          <w:t>29</w:t>
        </w:r>
      </w:hyperlink>
    </w:p>
    <w:p w14:paraId="3CAC0240" w14:textId="77777777" w:rsidR="001C511A" w:rsidRPr="001C511A" w:rsidRDefault="001C511A" w:rsidP="001C511A">
      <w:pPr>
        <w:spacing w:after="0" w:line="240" w:lineRule="auto"/>
        <w:rPr>
          <w:rFonts w:ascii="Times New Roman" w:eastAsia="Times New Roman" w:hAnsi="Times New Roman" w:cs="Times New Roman"/>
          <w:sz w:val="24"/>
          <w:szCs w:val="24"/>
        </w:rPr>
      </w:pPr>
      <w:hyperlink r:id="rId118" w:anchor="co_fnRef_B00292051336180_ID0EOOBI" w:history="1">
        <w:r w:rsidRPr="001C511A">
          <w:rPr>
            <w:rFonts w:ascii="Times New Roman" w:eastAsia="Times New Roman" w:hAnsi="Times New Roman" w:cs="Times New Roman"/>
            <w:color w:val="0000FF"/>
            <w:sz w:val="24"/>
            <w:szCs w:val="24"/>
            <w:u w:val="single"/>
          </w:rPr>
          <w:t>29</w:t>
        </w:r>
      </w:hyperlink>
    </w:p>
    <w:p w14:paraId="2DDF3056" w14:textId="77777777" w:rsidR="001C511A" w:rsidRPr="001C511A" w:rsidRDefault="001C511A" w:rsidP="001C511A">
      <w:pPr>
        <w:spacing w:after="0" w:line="240" w:lineRule="auto"/>
        <w:rPr>
          <w:rFonts w:ascii="Times New Roman" w:eastAsia="Times New Roman" w:hAnsi="Times New Roman" w:cs="Times New Roman"/>
          <w:sz w:val="24"/>
          <w:szCs w:val="24"/>
        </w:rPr>
      </w:pPr>
      <w:r w:rsidRPr="001C511A">
        <w:rPr>
          <w:rFonts w:ascii="Times New Roman" w:eastAsia="Times New Roman" w:hAnsi="Times New Roman" w:cs="Times New Roman"/>
          <w:i/>
          <w:iCs/>
          <w:sz w:val="24"/>
          <w:szCs w:val="24"/>
        </w:rPr>
        <w:t>See</w:t>
      </w:r>
      <w:r w:rsidRPr="001C511A">
        <w:rPr>
          <w:rFonts w:ascii="Times New Roman" w:eastAsia="Times New Roman" w:hAnsi="Times New Roman" w:cs="Times New Roman"/>
          <w:sz w:val="24"/>
          <w:szCs w:val="24"/>
        </w:rPr>
        <w:t xml:space="preserve"> </w:t>
      </w:r>
      <w:hyperlink r:id="rId119" w:anchor="co_pp_sp_708_2121" w:history="1">
        <w:r w:rsidRPr="001C511A">
          <w:rPr>
            <w:rFonts w:ascii="Times New Roman" w:eastAsia="Times New Roman" w:hAnsi="Times New Roman" w:cs="Times New Roman"/>
            <w:i/>
            <w:iCs/>
            <w:color w:val="0000FF"/>
            <w:sz w:val="24"/>
            <w:szCs w:val="24"/>
            <w:u w:val="single"/>
          </w:rPr>
          <w:t>Gundy</w:t>
        </w:r>
        <w:r w:rsidRPr="001C511A">
          <w:rPr>
            <w:rFonts w:ascii="Times New Roman" w:eastAsia="Times New Roman" w:hAnsi="Times New Roman" w:cs="Times New Roman"/>
            <w:color w:val="0000FF"/>
            <w:sz w:val="24"/>
            <w:szCs w:val="24"/>
            <w:u w:val="single"/>
          </w:rPr>
          <w:t>, 139 S. Ct. at 2121</w:t>
        </w:r>
      </w:hyperlink>
      <w:r w:rsidRPr="001C511A">
        <w:rPr>
          <w:rFonts w:ascii="Times New Roman" w:eastAsia="Times New Roman" w:hAnsi="Times New Roman" w:cs="Times New Roman"/>
          <w:sz w:val="24"/>
          <w:szCs w:val="24"/>
        </w:rPr>
        <w:t xml:space="preserve"> (plurality); </w:t>
      </w:r>
      <w:r w:rsidRPr="001C511A">
        <w:rPr>
          <w:rFonts w:ascii="Times New Roman" w:eastAsia="Times New Roman" w:hAnsi="Times New Roman" w:cs="Times New Roman"/>
          <w:i/>
          <w:iCs/>
          <w:sz w:val="24"/>
          <w:szCs w:val="24"/>
        </w:rPr>
        <w:t>see also</w:t>
      </w:r>
      <w:r w:rsidRPr="001C511A">
        <w:rPr>
          <w:rFonts w:ascii="Times New Roman" w:eastAsia="Times New Roman" w:hAnsi="Times New Roman" w:cs="Times New Roman"/>
          <w:sz w:val="24"/>
          <w:szCs w:val="24"/>
        </w:rPr>
        <w:t xml:space="preserve"> </w:t>
      </w:r>
      <w:hyperlink r:id="rId120" w:anchor="co_pp_sp_708_2131" w:history="1">
        <w:r w:rsidRPr="001C511A">
          <w:rPr>
            <w:rFonts w:ascii="Times New Roman" w:eastAsia="Times New Roman" w:hAnsi="Times New Roman" w:cs="Times New Roman"/>
            <w:i/>
            <w:iCs/>
            <w:color w:val="0000FF"/>
            <w:sz w:val="24"/>
            <w:szCs w:val="24"/>
            <w:u w:val="single"/>
          </w:rPr>
          <w:t>id</w:t>
        </w:r>
        <w:r w:rsidRPr="001C511A">
          <w:rPr>
            <w:rFonts w:ascii="Times New Roman" w:eastAsia="Times New Roman" w:hAnsi="Times New Roman" w:cs="Times New Roman"/>
            <w:color w:val="0000FF"/>
            <w:sz w:val="24"/>
            <w:szCs w:val="24"/>
            <w:u w:val="single"/>
          </w:rPr>
          <w:t>. at 2131</w:t>
        </w:r>
      </w:hyperlink>
      <w:r w:rsidRPr="001C511A">
        <w:rPr>
          <w:rFonts w:ascii="Times New Roman" w:eastAsia="Times New Roman" w:hAnsi="Times New Roman" w:cs="Times New Roman"/>
          <w:sz w:val="24"/>
          <w:szCs w:val="24"/>
        </w:rPr>
        <w:t xml:space="preserve"> (Alito, J., concurring in the judgment) (“Because I cannot say that the statute lacks a ... standard that is adequate under the approach this Court has taken for many years, I vote to affirm.”).</w:t>
      </w:r>
    </w:p>
    <w:p w14:paraId="3EF01E0B" w14:textId="77777777" w:rsidR="001C511A" w:rsidRDefault="001C511A" w:rsidP="00DD36B3">
      <w:pPr>
        <w:spacing w:after="0" w:line="240" w:lineRule="auto"/>
        <w:rPr>
          <w:rFonts w:ascii="Times New Roman" w:eastAsia="Times New Roman" w:hAnsi="Times New Roman" w:cs="Times New Roman"/>
          <w:sz w:val="24"/>
          <w:szCs w:val="24"/>
          <w:vertAlign w:val="superscript"/>
        </w:rPr>
      </w:pPr>
    </w:p>
    <w:p w14:paraId="23AE1947" w14:textId="48CEC1DD"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 Those votes compel our affirmance here.</w:t>
      </w:r>
    </w:p>
    <w:p w14:paraId="690C8A76"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 * * *</w:t>
      </w:r>
    </w:p>
    <w:p w14:paraId="2128D09F" w14:textId="77777777" w:rsidR="00DD36B3" w:rsidRPr="00DD36B3" w:rsidRDefault="00DD36B3" w:rsidP="00DD36B3">
      <w:pPr>
        <w:spacing w:after="0" w:line="240" w:lineRule="auto"/>
        <w:rPr>
          <w:rFonts w:ascii="Times New Roman" w:eastAsia="Times New Roman" w:hAnsi="Times New Roman" w:cs="Times New Roman"/>
          <w:sz w:val="24"/>
          <w:szCs w:val="24"/>
        </w:rPr>
      </w:pPr>
      <w:r w:rsidRPr="00DD36B3">
        <w:rPr>
          <w:rFonts w:ascii="Times New Roman" w:eastAsia="Times New Roman" w:hAnsi="Times New Roman" w:cs="Times New Roman"/>
          <w:sz w:val="24"/>
          <w:szCs w:val="24"/>
        </w:rPr>
        <w:t xml:space="preserve">The Court might well decide—perhaps soon—to reexamine or revive the nondelegation doctrine. But “[w]e </w:t>
      </w:r>
      <w:proofErr w:type="gramStart"/>
      <w:r w:rsidRPr="00DD36B3">
        <w:rPr>
          <w:rFonts w:ascii="Times New Roman" w:eastAsia="Times New Roman" w:hAnsi="Times New Roman" w:cs="Times New Roman"/>
          <w:sz w:val="24"/>
          <w:szCs w:val="24"/>
        </w:rPr>
        <w:t>are</w:t>
      </w:r>
      <w:proofErr w:type="gramEnd"/>
      <w:r w:rsidRPr="00DD36B3">
        <w:rPr>
          <w:rFonts w:ascii="Times New Roman" w:eastAsia="Times New Roman" w:hAnsi="Times New Roman" w:cs="Times New Roman"/>
          <w:sz w:val="24"/>
          <w:szCs w:val="24"/>
        </w:rPr>
        <w:t xml:space="preserve"> not supposed to ... read tea leaves to predict where it might end up.” </w:t>
      </w:r>
      <w:hyperlink r:id="rId121" w:anchor="co_pp_sp_506_265" w:history="1">
        <w:r w:rsidRPr="00DD36B3">
          <w:rPr>
            <w:rFonts w:ascii="Times New Roman" w:eastAsia="Times New Roman" w:hAnsi="Times New Roman" w:cs="Times New Roman"/>
            <w:i/>
            <w:iCs/>
            <w:sz w:val="24"/>
            <w:szCs w:val="24"/>
          </w:rPr>
          <w:t>United States v. Mecham</w:t>
        </w:r>
        <w:r w:rsidRPr="00DD36B3">
          <w:rPr>
            <w:rFonts w:ascii="Times New Roman" w:eastAsia="Times New Roman" w:hAnsi="Times New Roman" w:cs="Times New Roman"/>
            <w:color w:val="0000FF"/>
            <w:sz w:val="24"/>
            <w:szCs w:val="24"/>
            <w:u w:val="single"/>
          </w:rPr>
          <w:t>, 950 F.3d 257, 265 (5th Cir. 2020)</w:t>
        </w:r>
      </w:hyperlink>
      <w:r w:rsidRPr="00DD36B3">
        <w:rPr>
          <w:rFonts w:ascii="Times New Roman" w:eastAsia="Times New Roman" w:hAnsi="Times New Roman" w:cs="Times New Roman"/>
          <w:sz w:val="24"/>
          <w:szCs w:val="24"/>
        </w:rPr>
        <w:t xml:space="preserve">, </w:t>
      </w:r>
      <w:r w:rsidRPr="00DD36B3">
        <w:rPr>
          <w:rFonts w:ascii="Times New Roman" w:eastAsia="Times New Roman" w:hAnsi="Times New Roman" w:cs="Times New Roman"/>
          <w:i/>
          <w:iCs/>
          <w:sz w:val="24"/>
          <w:szCs w:val="24"/>
        </w:rPr>
        <w:t>cert. denied</w:t>
      </w:r>
      <w:r w:rsidRPr="00DD36B3">
        <w:rPr>
          <w:rFonts w:ascii="Times New Roman" w:eastAsia="Times New Roman" w:hAnsi="Times New Roman" w:cs="Times New Roman"/>
          <w:sz w:val="24"/>
          <w:szCs w:val="24"/>
        </w:rPr>
        <w:t xml:space="preserve">, </w:t>
      </w:r>
      <w:hyperlink r:id="rId122" w:history="1">
        <w:r w:rsidRPr="00DD36B3">
          <w:rPr>
            <w:rFonts w:ascii="Times New Roman" w:eastAsia="Times New Roman" w:hAnsi="Times New Roman" w:cs="Times New Roman"/>
            <w:color w:val="0000FF"/>
            <w:sz w:val="24"/>
            <w:szCs w:val="24"/>
            <w:u w:val="single"/>
          </w:rPr>
          <w:t xml:space="preserve">––– U.S. ––––, ––– </w:t>
        </w:r>
        <w:proofErr w:type="spellStart"/>
        <w:r w:rsidRPr="00DD36B3">
          <w:rPr>
            <w:rFonts w:ascii="Times New Roman" w:eastAsia="Times New Roman" w:hAnsi="Times New Roman" w:cs="Times New Roman"/>
            <w:color w:val="0000FF"/>
            <w:sz w:val="24"/>
            <w:szCs w:val="24"/>
            <w:u w:val="single"/>
          </w:rPr>
          <w:t>S.Ct</w:t>
        </w:r>
        <w:proofErr w:type="spellEnd"/>
        <w:r w:rsidRPr="00DD36B3">
          <w:rPr>
            <w:rFonts w:ascii="Times New Roman" w:eastAsia="Times New Roman" w:hAnsi="Times New Roman" w:cs="Times New Roman"/>
            <w:color w:val="0000FF"/>
            <w:sz w:val="24"/>
            <w:szCs w:val="24"/>
            <w:u w:val="single"/>
          </w:rPr>
          <w:t>. ––––, ––– L.Ed.2d ––––, 2020 WL 3405899 (U.S. June 22, 2020) (No. 19-7865</w:t>
        </w:r>
      </w:hyperlink>
      <w:r w:rsidRPr="00DD36B3">
        <w:rPr>
          <w:rFonts w:ascii="Times New Roman" w:eastAsia="Times New Roman" w:hAnsi="Times New Roman" w:cs="Times New Roman"/>
          <w:sz w:val="24"/>
          <w:szCs w:val="24"/>
        </w:rPr>
        <w:t>). The judgment of dismissal is therefore AFFIRMED.</w:t>
      </w:r>
    </w:p>
    <w:p w14:paraId="6E31E792" w14:textId="77777777" w:rsidR="00DD36B3" w:rsidRDefault="00DD36B3"/>
    <w:sectPr w:rsidR="00DD36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65C"/>
    <w:rsid w:val="001C511A"/>
    <w:rsid w:val="004C3FFE"/>
    <w:rsid w:val="00AF665C"/>
    <w:rsid w:val="00DD36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3648B"/>
  <w15:chartTrackingRefBased/>
  <w15:docId w15:val="{9992EFD7-403B-4E5F-8A38-875ACC227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F665C"/>
    <w:rPr>
      <w:color w:val="0000FF"/>
      <w:u w:val="single"/>
    </w:rPr>
  </w:style>
  <w:style w:type="character" w:styleId="Emphasis">
    <w:name w:val="Emphasis"/>
    <w:basedOn w:val="DefaultParagraphFont"/>
    <w:uiPriority w:val="20"/>
    <w:qFormat/>
    <w:rsid w:val="00AF665C"/>
    <w:rPr>
      <w:i/>
      <w:iCs/>
    </w:rPr>
  </w:style>
  <w:style w:type="character" w:customStyle="1" w:styleId="cosearchterm">
    <w:name w:val="co_searchterm"/>
    <w:basedOn w:val="DefaultParagraphFont"/>
    <w:rsid w:val="00AF665C"/>
  </w:style>
  <w:style w:type="character" w:customStyle="1" w:styleId="cosmallcaps">
    <w:name w:val="co_smallcaps"/>
    <w:basedOn w:val="DefaultParagraphFont"/>
    <w:rsid w:val="00AF665C"/>
  </w:style>
  <w:style w:type="character" w:customStyle="1" w:styleId="costarpage">
    <w:name w:val="co_starpage"/>
    <w:basedOn w:val="DefaultParagraphFont"/>
    <w:rsid w:val="00AF6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67232">
      <w:bodyDiv w:val="1"/>
      <w:marLeft w:val="0"/>
      <w:marRight w:val="0"/>
      <w:marTop w:val="0"/>
      <w:marBottom w:val="0"/>
      <w:divBdr>
        <w:top w:val="none" w:sz="0" w:space="0" w:color="auto"/>
        <w:left w:val="none" w:sz="0" w:space="0" w:color="auto"/>
        <w:bottom w:val="none" w:sz="0" w:space="0" w:color="auto"/>
        <w:right w:val="none" w:sz="0" w:space="0" w:color="auto"/>
      </w:divBdr>
      <w:divsChild>
        <w:div w:id="322397081">
          <w:marLeft w:val="0"/>
          <w:marRight w:val="0"/>
          <w:marTop w:val="0"/>
          <w:marBottom w:val="0"/>
          <w:divBdr>
            <w:top w:val="none" w:sz="0" w:space="0" w:color="auto"/>
            <w:left w:val="none" w:sz="0" w:space="0" w:color="auto"/>
            <w:bottom w:val="none" w:sz="0" w:space="0" w:color="auto"/>
            <w:right w:val="none" w:sz="0" w:space="0" w:color="auto"/>
          </w:divBdr>
        </w:div>
        <w:div w:id="24065288">
          <w:marLeft w:val="0"/>
          <w:marRight w:val="0"/>
          <w:marTop w:val="0"/>
          <w:marBottom w:val="0"/>
          <w:divBdr>
            <w:top w:val="none" w:sz="0" w:space="0" w:color="auto"/>
            <w:left w:val="none" w:sz="0" w:space="0" w:color="auto"/>
            <w:bottom w:val="none" w:sz="0" w:space="0" w:color="auto"/>
            <w:right w:val="none" w:sz="0" w:space="0" w:color="auto"/>
          </w:divBdr>
          <w:divsChild>
            <w:div w:id="779034666">
              <w:marLeft w:val="0"/>
              <w:marRight w:val="0"/>
              <w:marTop w:val="0"/>
              <w:marBottom w:val="0"/>
              <w:divBdr>
                <w:top w:val="none" w:sz="0" w:space="0" w:color="auto"/>
                <w:left w:val="none" w:sz="0" w:space="0" w:color="auto"/>
                <w:bottom w:val="none" w:sz="0" w:space="0" w:color="auto"/>
                <w:right w:val="none" w:sz="0" w:space="0" w:color="auto"/>
              </w:divBdr>
              <w:divsChild>
                <w:div w:id="34256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81568">
      <w:bodyDiv w:val="1"/>
      <w:marLeft w:val="0"/>
      <w:marRight w:val="0"/>
      <w:marTop w:val="0"/>
      <w:marBottom w:val="0"/>
      <w:divBdr>
        <w:top w:val="none" w:sz="0" w:space="0" w:color="auto"/>
        <w:left w:val="none" w:sz="0" w:space="0" w:color="auto"/>
        <w:bottom w:val="none" w:sz="0" w:space="0" w:color="auto"/>
        <w:right w:val="none" w:sz="0" w:space="0" w:color="auto"/>
      </w:divBdr>
      <w:divsChild>
        <w:div w:id="1159152898">
          <w:marLeft w:val="0"/>
          <w:marRight w:val="0"/>
          <w:marTop w:val="0"/>
          <w:marBottom w:val="0"/>
          <w:divBdr>
            <w:top w:val="none" w:sz="0" w:space="0" w:color="auto"/>
            <w:left w:val="none" w:sz="0" w:space="0" w:color="auto"/>
            <w:bottom w:val="none" w:sz="0" w:space="0" w:color="auto"/>
            <w:right w:val="none" w:sz="0" w:space="0" w:color="auto"/>
          </w:divBdr>
        </w:div>
        <w:div w:id="1006397384">
          <w:marLeft w:val="0"/>
          <w:marRight w:val="0"/>
          <w:marTop w:val="0"/>
          <w:marBottom w:val="0"/>
          <w:divBdr>
            <w:top w:val="none" w:sz="0" w:space="0" w:color="auto"/>
            <w:left w:val="none" w:sz="0" w:space="0" w:color="auto"/>
            <w:bottom w:val="none" w:sz="0" w:space="0" w:color="auto"/>
            <w:right w:val="none" w:sz="0" w:space="0" w:color="auto"/>
          </w:divBdr>
          <w:divsChild>
            <w:div w:id="197088440">
              <w:marLeft w:val="0"/>
              <w:marRight w:val="0"/>
              <w:marTop w:val="0"/>
              <w:marBottom w:val="0"/>
              <w:divBdr>
                <w:top w:val="none" w:sz="0" w:space="0" w:color="auto"/>
                <w:left w:val="none" w:sz="0" w:space="0" w:color="auto"/>
                <w:bottom w:val="none" w:sz="0" w:space="0" w:color="auto"/>
                <w:right w:val="none" w:sz="0" w:space="0" w:color="auto"/>
              </w:divBdr>
              <w:divsChild>
                <w:div w:id="197309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31152">
      <w:bodyDiv w:val="1"/>
      <w:marLeft w:val="0"/>
      <w:marRight w:val="0"/>
      <w:marTop w:val="0"/>
      <w:marBottom w:val="0"/>
      <w:divBdr>
        <w:top w:val="none" w:sz="0" w:space="0" w:color="auto"/>
        <w:left w:val="none" w:sz="0" w:space="0" w:color="auto"/>
        <w:bottom w:val="none" w:sz="0" w:space="0" w:color="auto"/>
        <w:right w:val="none" w:sz="0" w:space="0" w:color="auto"/>
      </w:divBdr>
      <w:divsChild>
        <w:div w:id="1411393399">
          <w:marLeft w:val="0"/>
          <w:marRight w:val="0"/>
          <w:marTop w:val="0"/>
          <w:marBottom w:val="0"/>
          <w:divBdr>
            <w:top w:val="none" w:sz="0" w:space="0" w:color="auto"/>
            <w:left w:val="none" w:sz="0" w:space="0" w:color="auto"/>
            <w:bottom w:val="none" w:sz="0" w:space="0" w:color="auto"/>
            <w:right w:val="none" w:sz="0" w:space="0" w:color="auto"/>
          </w:divBdr>
        </w:div>
        <w:div w:id="161241898">
          <w:marLeft w:val="0"/>
          <w:marRight w:val="0"/>
          <w:marTop w:val="0"/>
          <w:marBottom w:val="0"/>
          <w:divBdr>
            <w:top w:val="none" w:sz="0" w:space="0" w:color="auto"/>
            <w:left w:val="none" w:sz="0" w:space="0" w:color="auto"/>
            <w:bottom w:val="none" w:sz="0" w:space="0" w:color="auto"/>
            <w:right w:val="none" w:sz="0" w:space="0" w:color="auto"/>
          </w:divBdr>
          <w:divsChild>
            <w:div w:id="553082513">
              <w:marLeft w:val="0"/>
              <w:marRight w:val="0"/>
              <w:marTop w:val="0"/>
              <w:marBottom w:val="0"/>
              <w:divBdr>
                <w:top w:val="none" w:sz="0" w:space="0" w:color="auto"/>
                <w:left w:val="none" w:sz="0" w:space="0" w:color="auto"/>
                <w:bottom w:val="none" w:sz="0" w:space="0" w:color="auto"/>
                <w:right w:val="none" w:sz="0" w:space="0" w:color="auto"/>
              </w:divBdr>
              <w:divsChild>
                <w:div w:id="596137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52643">
      <w:bodyDiv w:val="1"/>
      <w:marLeft w:val="0"/>
      <w:marRight w:val="0"/>
      <w:marTop w:val="0"/>
      <w:marBottom w:val="0"/>
      <w:divBdr>
        <w:top w:val="none" w:sz="0" w:space="0" w:color="auto"/>
        <w:left w:val="none" w:sz="0" w:space="0" w:color="auto"/>
        <w:bottom w:val="none" w:sz="0" w:space="0" w:color="auto"/>
        <w:right w:val="none" w:sz="0" w:space="0" w:color="auto"/>
      </w:divBdr>
      <w:divsChild>
        <w:div w:id="1901863220">
          <w:marLeft w:val="0"/>
          <w:marRight w:val="0"/>
          <w:marTop w:val="0"/>
          <w:marBottom w:val="0"/>
          <w:divBdr>
            <w:top w:val="none" w:sz="0" w:space="0" w:color="auto"/>
            <w:left w:val="none" w:sz="0" w:space="0" w:color="auto"/>
            <w:bottom w:val="none" w:sz="0" w:space="0" w:color="auto"/>
            <w:right w:val="none" w:sz="0" w:space="0" w:color="auto"/>
          </w:divBdr>
        </w:div>
        <w:div w:id="1390111468">
          <w:marLeft w:val="0"/>
          <w:marRight w:val="0"/>
          <w:marTop w:val="0"/>
          <w:marBottom w:val="0"/>
          <w:divBdr>
            <w:top w:val="none" w:sz="0" w:space="0" w:color="auto"/>
            <w:left w:val="none" w:sz="0" w:space="0" w:color="auto"/>
            <w:bottom w:val="none" w:sz="0" w:space="0" w:color="auto"/>
            <w:right w:val="none" w:sz="0" w:space="0" w:color="auto"/>
          </w:divBdr>
          <w:divsChild>
            <w:div w:id="1972008580">
              <w:marLeft w:val="0"/>
              <w:marRight w:val="0"/>
              <w:marTop w:val="0"/>
              <w:marBottom w:val="0"/>
              <w:divBdr>
                <w:top w:val="none" w:sz="0" w:space="0" w:color="auto"/>
                <w:left w:val="none" w:sz="0" w:space="0" w:color="auto"/>
                <w:bottom w:val="none" w:sz="0" w:space="0" w:color="auto"/>
                <w:right w:val="none" w:sz="0" w:space="0" w:color="auto"/>
              </w:divBdr>
              <w:divsChild>
                <w:div w:id="155499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904422">
      <w:bodyDiv w:val="1"/>
      <w:marLeft w:val="0"/>
      <w:marRight w:val="0"/>
      <w:marTop w:val="0"/>
      <w:marBottom w:val="0"/>
      <w:divBdr>
        <w:top w:val="none" w:sz="0" w:space="0" w:color="auto"/>
        <w:left w:val="none" w:sz="0" w:space="0" w:color="auto"/>
        <w:bottom w:val="none" w:sz="0" w:space="0" w:color="auto"/>
        <w:right w:val="none" w:sz="0" w:space="0" w:color="auto"/>
      </w:divBdr>
      <w:divsChild>
        <w:div w:id="1972249552">
          <w:marLeft w:val="0"/>
          <w:marRight w:val="0"/>
          <w:marTop w:val="0"/>
          <w:marBottom w:val="0"/>
          <w:divBdr>
            <w:top w:val="none" w:sz="0" w:space="0" w:color="auto"/>
            <w:left w:val="none" w:sz="0" w:space="0" w:color="auto"/>
            <w:bottom w:val="none" w:sz="0" w:space="0" w:color="auto"/>
            <w:right w:val="none" w:sz="0" w:space="0" w:color="auto"/>
          </w:divBdr>
          <w:divsChild>
            <w:div w:id="325399128">
              <w:marLeft w:val="0"/>
              <w:marRight w:val="0"/>
              <w:marTop w:val="0"/>
              <w:marBottom w:val="0"/>
              <w:divBdr>
                <w:top w:val="none" w:sz="0" w:space="0" w:color="auto"/>
                <w:left w:val="none" w:sz="0" w:space="0" w:color="auto"/>
                <w:bottom w:val="none" w:sz="0" w:space="0" w:color="auto"/>
                <w:right w:val="none" w:sz="0" w:space="0" w:color="auto"/>
              </w:divBdr>
            </w:div>
          </w:divsChild>
        </w:div>
        <w:div w:id="1193417724">
          <w:marLeft w:val="0"/>
          <w:marRight w:val="0"/>
          <w:marTop w:val="0"/>
          <w:marBottom w:val="0"/>
          <w:divBdr>
            <w:top w:val="none" w:sz="0" w:space="0" w:color="auto"/>
            <w:left w:val="none" w:sz="0" w:space="0" w:color="auto"/>
            <w:bottom w:val="none" w:sz="0" w:space="0" w:color="auto"/>
            <w:right w:val="none" w:sz="0" w:space="0" w:color="auto"/>
          </w:divBdr>
          <w:divsChild>
            <w:div w:id="2036074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080547">
      <w:bodyDiv w:val="1"/>
      <w:marLeft w:val="0"/>
      <w:marRight w:val="0"/>
      <w:marTop w:val="0"/>
      <w:marBottom w:val="0"/>
      <w:divBdr>
        <w:top w:val="none" w:sz="0" w:space="0" w:color="auto"/>
        <w:left w:val="none" w:sz="0" w:space="0" w:color="auto"/>
        <w:bottom w:val="none" w:sz="0" w:space="0" w:color="auto"/>
        <w:right w:val="none" w:sz="0" w:space="0" w:color="auto"/>
      </w:divBdr>
      <w:divsChild>
        <w:div w:id="1280145889">
          <w:marLeft w:val="0"/>
          <w:marRight w:val="0"/>
          <w:marTop w:val="0"/>
          <w:marBottom w:val="0"/>
          <w:divBdr>
            <w:top w:val="none" w:sz="0" w:space="0" w:color="auto"/>
            <w:left w:val="none" w:sz="0" w:space="0" w:color="auto"/>
            <w:bottom w:val="none" w:sz="0" w:space="0" w:color="auto"/>
            <w:right w:val="none" w:sz="0" w:space="0" w:color="auto"/>
          </w:divBdr>
        </w:div>
        <w:div w:id="669913464">
          <w:marLeft w:val="0"/>
          <w:marRight w:val="0"/>
          <w:marTop w:val="0"/>
          <w:marBottom w:val="0"/>
          <w:divBdr>
            <w:top w:val="none" w:sz="0" w:space="0" w:color="auto"/>
            <w:left w:val="none" w:sz="0" w:space="0" w:color="auto"/>
            <w:bottom w:val="none" w:sz="0" w:space="0" w:color="auto"/>
            <w:right w:val="none" w:sz="0" w:space="0" w:color="auto"/>
          </w:divBdr>
          <w:divsChild>
            <w:div w:id="807937655">
              <w:marLeft w:val="0"/>
              <w:marRight w:val="0"/>
              <w:marTop w:val="0"/>
              <w:marBottom w:val="0"/>
              <w:divBdr>
                <w:top w:val="none" w:sz="0" w:space="0" w:color="auto"/>
                <w:left w:val="none" w:sz="0" w:space="0" w:color="auto"/>
                <w:bottom w:val="none" w:sz="0" w:space="0" w:color="auto"/>
                <w:right w:val="none" w:sz="0" w:space="0" w:color="auto"/>
              </w:divBdr>
              <w:divsChild>
                <w:div w:id="1418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1519697">
      <w:bodyDiv w:val="1"/>
      <w:marLeft w:val="0"/>
      <w:marRight w:val="0"/>
      <w:marTop w:val="0"/>
      <w:marBottom w:val="0"/>
      <w:divBdr>
        <w:top w:val="none" w:sz="0" w:space="0" w:color="auto"/>
        <w:left w:val="none" w:sz="0" w:space="0" w:color="auto"/>
        <w:bottom w:val="none" w:sz="0" w:space="0" w:color="auto"/>
        <w:right w:val="none" w:sz="0" w:space="0" w:color="auto"/>
      </w:divBdr>
      <w:divsChild>
        <w:div w:id="2054844746">
          <w:marLeft w:val="0"/>
          <w:marRight w:val="0"/>
          <w:marTop w:val="0"/>
          <w:marBottom w:val="0"/>
          <w:divBdr>
            <w:top w:val="none" w:sz="0" w:space="0" w:color="auto"/>
            <w:left w:val="none" w:sz="0" w:space="0" w:color="auto"/>
            <w:bottom w:val="none" w:sz="0" w:space="0" w:color="auto"/>
            <w:right w:val="none" w:sz="0" w:space="0" w:color="auto"/>
          </w:divBdr>
          <w:divsChild>
            <w:div w:id="54671827">
              <w:marLeft w:val="0"/>
              <w:marRight w:val="0"/>
              <w:marTop w:val="0"/>
              <w:marBottom w:val="0"/>
              <w:divBdr>
                <w:top w:val="none" w:sz="0" w:space="0" w:color="auto"/>
                <w:left w:val="none" w:sz="0" w:space="0" w:color="auto"/>
                <w:bottom w:val="none" w:sz="0" w:space="0" w:color="auto"/>
                <w:right w:val="none" w:sz="0" w:space="0" w:color="auto"/>
              </w:divBdr>
            </w:div>
          </w:divsChild>
        </w:div>
        <w:div w:id="689525115">
          <w:marLeft w:val="0"/>
          <w:marRight w:val="0"/>
          <w:marTop w:val="0"/>
          <w:marBottom w:val="0"/>
          <w:divBdr>
            <w:top w:val="none" w:sz="0" w:space="0" w:color="auto"/>
            <w:left w:val="none" w:sz="0" w:space="0" w:color="auto"/>
            <w:bottom w:val="none" w:sz="0" w:space="0" w:color="auto"/>
            <w:right w:val="none" w:sz="0" w:space="0" w:color="auto"/>
          </w:divBdr>
          <w:divsChild>
            <w:div w:id="1044259897">
              <w:marLeft w:val="0"/>
              <w:marRight w:val="0"/>
              <w:marTop w:val="0"/>
              <w:marBottom w:val="0"/>
              <w:divBdr>
                <w:top w:val="none" w:sz="0" w:space="0" w:color="auto"/>
                <w:left w:val="none" w:sz="0" w:space="0" w:color="auto"/>
                <w:bottom w:val="none" w:sz="0" w:space="0" w:color="auto"/>
                <w:right w:val="none" w:sz="0" w:space="0" w:color="auto"/>
              </w:divBdr>
            </w:div>
          </w:divsChild>
        </w:div>
        <w:div w:id="1126698213">
          <w:marLeft w:val="0"/>
          <w:marRight w:val="0"/>
          <w:marTop w:val="0"/>
          <w:marBottom w:val="0"/>
          <w:divBdr>
            <w:top w:val="none" w:sz="0" w:space="0" w:color="auto"/>
            <w:left w:val="none" w:sz="0" w:space="0" w:color="auto"/>
            <w:bottom w:val="none" w:sz="0" w:space="0" w:color="auto"/>
            <w:right w:val="none" w:sz="0" w:space="0" w:color="auto"/>
          </w:divBdr>
          <w:divsChild>
            <w:div w:id="26296610">
              <w:marLeft w:val="0"/>
              <w:marRight w:val="0"/>
              <w:marTop w:val="0"/>
              <w:marBottom w:val="0"/>
              <w:divBdr>
                <w:top w:val="none" w:sz="0" w:space="0" w:color="auto"/>
                <w:left w:val="none" w:sz="0" w:space="0" w:color="auto"/>
                <w:bottom w:val="none" w:sz="0" w:space="0" w:color="auto"/>
                <w:right w:val="none" w:sz="0" w:space="0" w:color="auto"/>
              </w:divBdr>
            </w:div>
          </w:divsChild>
        </w:div>
        <w:div w:id="604775028">
          <w:marLeft w:val="0"/>
          <w:marRight w:val="0"/>
          <w:marTop w:val="0"/>
          <w:marBottom w:val="0"/>
          <w:divBdr>
            <w:top w:val="none" w:sz="0" w:space="0" w:color="auto"/>
            <w:left w:val="none" w:sz="0" w:space="0" w:color="auto"/>
            <w:bottom w:val="none" w:sz="0" w:space="0" w:color="auto"/>
            <w:right w:val="none" w:sz="0" w:space="0" w:color="auto"/>
          </w:divBdr>
          <w:divsChild>
            <w:div w:id="1121194586">
              <w:marLeft w:val="0"/>
              <w:marRight w:val="0"/>
              <w:marTop w:val="0"/>
              <w:marBottom w:val="0"/>
              <w:divBdr>
                <w:top w:val="none" w:sz="0" w:space="0" w:color="auto"/>
                <w:left w:val="none" w:sz="0" w:space="0" w:color="auto"/>
                <w:bottom w:val="none" w:sz="0" w:space="0" w:color="auto"/>
                <w:right w:val="none" w:sz="0" w:space="0" w:color="auto"/>
              </w:divBdr>
            </w:div>
          </w:divsChild>
        </w:div>
        <w:div w:id="289630225">
          <w:marLeft w:val="0"/>
          <w:marRight w:val="0"/>
          <w:marTop w:val="0"/>
          <w:marBottom w:val="0"/>
          <w:divBdr>
            <w:top w:val="none" w:sz="0" w:space="0" w:color="auto"/>
            <w:left w:val="none" w:sz="0" w:space="0" w:color="auto"/>
            <w:bottom w:val="none" w:sz="0" w:space="0" w:color="auto"/>
            <w:right w:val="none" w:sz="0" w:space="0" w:color="auto"/>
          </w:divBdr>
          <w:divsChild>
            <w:div w:id="1298755835">
              <w:marLeft w:val="0"/>
              <w:marRight w:val="0"/>
              <w:marTop w:val="0"/>
              <w:marBottom w:val="0"/>
              <w:divBdr>
                <w:top w:val="none" w:sz="0" w:space="0" w:color="auto"/>
                <w:left w:val="none" w:sz="0" w:space="0" w:color="auto"/>
                <w:bottom w:val="none" w:sz="0" w:space="0" w:color="auto"/>
                <w:right w:val="none" w:sz="0" w:space="0" w:color="auto"/>
              </w:divBdr>
            </w:div>
            <w:div w:id="2086492631">
              <w:marLeft w:val="0"/>
              <w:marRight w:val="0"/>
              <w:marTop w:val="0"/>
              <w:marBottom w:val="0"/>
              <w:divBdr>
                <w:top w:val="none" w:sz="0" w:space="0" w:color="auto"/>
                <w:left w:val="none" w:sz="0" w:space="0" w:color="auto"/>
                <w:bottom w:val="none" w:sz="0" w:space="0" w:color="auto"/>
                <w:right w:val="none" w:sz="0" w:space="0" w:color="auto"/>
              </w:divBdr>
              <w:divsChild>
                <w:div w:id="977371035">
                  <w:marLeft w:val="0"/>
                  <w:marRight w:val="0"/>
                  <w:marTop w:val="0"/>
                  <w:marBottom w:val="0"/>
                  <w:divBdr>
                    <w:top w:val="none" w:sz="0" w:space="0" w:color="auto"/>
                    <w:left w:val="none" w:sz="0" w:space="0" w:color="auto"/>
                    <w:bottom w:val="none" w:sz="0" w:space="0" w:color="auto"/>
                    <w:right w:val="none" w:sz="0" w:space="0" w:color="auto"/>
                  </w:divBdr>
                  <w:divsChild>
                    <w:div w:id="15715029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8927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701222">
              <w:marLeft w:val="0"/>
              <w:marRight w:val="0"/>
              <w:marTop w:val="0"/>
              <w:marBottom w:val="0"/>
              <w:divBdr>
                <w:top w:val="none" w:sz="0" w:space="0" w:color="auto"/>
                <w:left w:val="none" w:sz="0" w:space="0" w:color="auto"/>
                <w:bottom w:val="none" w:sz="0" w:space="0" w:color="auto"/>
                <w:right w:val="none" w:sz="0" w:space="0" w:color="auto"/>
              </w:divBdr>
            </w:div>
          </w:divsChild>
        </w:div>
        <w:div w:id="421339174">
          <w:marLeft w:val="0"/>
          <w:marRight w:val="0"/>
          <w:marTop w:val="0"/>
          <w:marBottom w:val="0"/>
          <w:divBdr>
            <w:top w:val="none" w:sz="0" w:space="0" w:color="auto"/>
            <w:left w:val="none" w:sz="0" w:space="0" w:color="auto"/>
            <w:bottom w:val="none" w:sz="0" w:space="0" w:color="auto"/>
            <w:right w:val="none" w:sz="0" w:space="0" w:color="auto"/>
          </w:divBdr>
          <w:divsChild>
            <w:div w:id="92366048">
              <w:marLeft w:val="0"/>
              <w:marRight w:val="0"/>
              <w:marTop w:val="0"/>
              <w:marBottom w:val="0"/>
              <w:divBdr>
                <w:top w:val="none" w:sz="0" w:space="0" w:color="auto"/>
                <w:left w:val="none" w:sz="0" w:space="0" w:color="auto"/>
                <w:bottom w:val="none" w:sz="0" w:space="0" w:color="auto"/>
                <w:right w:val="none" w:sz="0" w:space="0" w:color="auto"/>
              </w:divBdr>
            </w:div>
          </w:divsChild>
        </w:div>
        <w:div w:id="1071733168">
          <w:marLeft w:val="0"/>
          <w:marRight w:val="0"/>
          <w:marTop w:val="0"/>
          <w:marBottom w:val="0"/>
          <w:divBdr>
            <w:top w:val="none" w:sz="0" w:space="0" w:color="auto"/>
            <w:left w:val="none" w:sz="0" w:space="0" w:color="auto"/>
            <w:bottom w:val="none" w:sz="0" w:space="0" w:color="auto"/>
            <w:right w:val="none" w:sz="0" w:space="0" w:color="auto"/>
          </w:divBdr>
          <w:divsChild>
            <w:div w:id="1227766316">
              <w:marLeft w:val="0"/>
              <w:marRight w:val="0"/>
              <w:marTop w:val="0"/>
              <w:marBottom w:val="0"/>
              <w:divBdr>
                <w:top w:val="none" w:sz="0" w:space="0" w:color="auto"/>
                <w:left w:val="none" w:sz="0" w:space="0" w:color="auto"/>
                <w:bottom w:val="none" w:sz="0" w:space="0" w:color="auto"/>
                <w:right w:val="none" w:sz="0" w:space="0" w:color="auto"/>
              </w:divBdr>
              <w:divsChild>
                <w:div w:id="183418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052934">
          <w:marLeft w:val="0"/>
          <w:marRight w:val="0"/>
          <w:marTop w:val="0"/>
          <w:marBottom w:val="0"/>
          <w:divBdr>
            <w:top w:val="none" w:sz="0" w:space="0" w:color="auto"/>
            <w:left w:val="none" w:sz="0" w:space="0" w:color="auto"/>
            <w:bottom w:val="none" w:sz="0" w:space="0" w:color="auto"/>
            <w:right w:val="none" w:sz="0" w:space="0" w:color="auto"/>
          </w:divBdr>
          <w:divsChild>
            <w:div w:id="138158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84984">
      <w:bodyDiv w:val="1"/>
      <w:marLeft w:val="0"/>
      <w:marRight w:val="0"/>
      <w:marTop w:val="0"/>
      <w:marBottom w:val="0"/>
      <w:divBdr>
        <w:top w:val="none" w:sz="0" w:space="0" w:color="auto"/>
        <w:left w:val="none" w:sz="0" w:space="0" w:color="auto"/>
        <w:bottom w:val="none" w:sz="0" w:space="0" w:color="auto"/>
        <w:right w:val="none" w:sz="0" w:space="0" w:color="auto"/>
      </w:divBdr>
      <w:divsChild>
        <w:div w:id="587731615">
          <w:marLeft w:val="0"/>
          <w:marRight w:val="0"/>
          <w:marTop w:val="0"/>
          <w:marBottom w:val="0"/>
          <w:divBdr>
            <w:top w:val="none" w:sz="0" w:space="0" w:color="auto"/>
            <w:left w:val="none" w:sz="0" w:space="0" w:color="auto"/>
            <w:bottom w:val="none" w:sz="0" w:space="0" w:color="auto"/>
            <w:right w:val="none" w:sz="0" w:space="0" w:color="auto"/>
          </w:divBdr>
        </w:div>
        <w:div w:id="928931711">
          <w:marLeft w:val="0"/>
          <w:marRight w:val="0"/>
          <w:marTop w:val="0"/>
          <w:marBottom w:val="0"/>
          <w:divBdr>
            <w:top w:val="none" w:sz="0" w:space="0" w:color="auto"/>
            <w:left w:val="none" w:sz="0" w:space="0" w:color="auto"/>
            <w:bottom w:val="none" w:sz="0" w:space="0" w:color="auto"/>
            <w:right w:val="none" w:sz="0" w:space="0" w:color="auto"/>
          </w:divBdr>
          <w:divsChild>
            <w:div w:id="196622885">
              <w:marLeft w:val="0"/>
              <w:marRight w:val="0"/>
              <w:marTop w:val="0"/>
              <w:marBottom w:val="0"/>
              <w:divBdr>
                <w:top w:val="none" w:sz="0" w:space="0" w:color="auto"/>
                <w:left w:val="none" w:sz="0" w:space="0" w:color="auto"/>
                <w:bottom w:val="none" w:sz="0" w:space="0" w:color="auto"/>
                <w:right w:val="none" w:sz="0" w:space="0" w:color="auto"/>
              </w:divBdr>
              <w:divsChild>
                <w:div w:id="161855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426149">
      <w:bodyDiv w:val="1"/>
      <w:marLeft w:val="0"/>
      <w:marRight w:val="0"/>
      <w:marTop w:val="0"/>
      <w:marBottom w:val="0"/>
      <w:divBdr>
        <w:top w:val="none" w:sz="0" w:space="0" w:color="auto"/>
        <w:left w:val="none" w:sz="0" w:space="0" w:color="auto"/>
        <w:bottom w:val="none" w:sz="0" w:space="0" w:color="auto"/>
        <w:right w:val="none" w:sz="0" w:space="0" w:color="auto"/>
      </w:divBdr>
      <w:divsChild>
        <w:div w:id="1385175768">
          <w:marLeft w:val="0"/>
          <w:marRight w:val="0"/>
          <w:marTop w:val="0"/>
          <w:marBottom w:val="0"/>
          <w:divBdr>
            <w:top w:val="none" w:sz="0" w:space="0" w:color="auto"/>
            <w:left w:val="none" w:sz="0" w:space="0" w:color="auto"/>
            <w:bottom w:val="none" w:sz="0" w:space="0" w:color="auto"/>
            <w:right w:val="none" w:sz="0" w:space="0" w:color="auto"/>
          </w:divBdr>
        </w:div>
        <w:div w:id="921066327">
          <w:marLeft w:val="0"/>
          <w:marRight w:val="0"/>
          <w:marTop w:val="0"/>
          <w:marBottom w:val="0"/>
          <w:divBdr>
            <w:top w:val="none" w:sz="0" w:space="0" w:color="auto"/>
            <w:left w:val="none" w:sz="0" w:space="0" w:color="auto"/>
            <w:bottom w:val="none" w:sz="0" w:space="0" w:color="auto"/>
            <w:right w:val="none" w:sz="0" w:space="0" w:color="auto"/>
          </w:divBdr>
          <w:divsChild>
            <w:div w:id="631205700">
              <w:marLeft w:val="0"/>
              <w:marRight w:val="0"/>
              <w:marTop w:val="0"/>
              <w:marBottom w:val="0"/>
              <w:divBdr>
                <w:top w:val="none" w:sz="0" w:space="0" w:color="auto"/>
                <w:left w:val="none" w:sz="0" w:space="0" w:color="auto"/>
                <w:bottom w:val="none" w:sz="0" w:space="0" w:color="auto"/>
                <w:right w:val="none" w:sz="0" w:space="0" w:color="auto"/>
              </w:divBdr>
              <w:divsChild>
                <w:div w:id="1573269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788658">
      <w:bodyDiv w:val="1"/>
      <w:marLeft w:val="0"/>
      <w:marRight w:val="0"/>
      <w:marTop w:val="0"/>
      <w:marBottom w:val="0"/>
      <w:divBdr>
        <w:top w:val="none" w:sz="0" w:space="0" w:color="auto"/>
        <w:left w:val="none" w:sz="0" w:space="0" w:color="auto"/>
        <w:bottom w:val="none" w:sz="0" w:space="0" w:color="auto"/>
        <w:right w:val="none" w:sz="0" w:space="0" w:color="auto"/>
      </w:divBdr>
      <w:divsChild>
        <w:div w:id="1081369701">
          <w:marLeft w:val="0"/>
          <w:marRight w:val="0"/>
          <w:marTop w:val="0"/>
          <w:marBottom w:val="0"/>
          <w:divBdr>
            <w:top w:val="none" w:sz="0" w:space="0" w:color="auto"/>
            <w:left w:val="none" w:sz="0" w:space="0" w:color="auto"/>
            <w:bottom w:val="none" w:sz="0" w:space="0" w:color="auto"/>
            <w:right w:val="none" w:sz="0" w:space="0" w:color="auto"/>
          </w:divBdr>
        </w:div>
        <w:div w:id="449058126">
          <w:marLeft w:val="0"/>
          <w:marRight w:val="0"/>
          <w:marTop w:val="0"/>
          <w:marBottom w:val="0"/>
          <w:divBdr>
            <w:top w:val="none" w:sz="0" w:space="0" w:color="auto"/>
            <w:left w:val="none" w:sz="0" w:space="0" w:color="auto"/>
            <w:bottom w:val="none" w:sz="0" w:space="0" w:color="auto"/>
            <w:right w:val="none" w:sz="0" w:space="0" w:color="auto"/>
          </w:divBdr>
          <w:divsChild>
            <w:div w:id="177473467">
              <w:marLeft w:val="0"/>
              <w:marRight w:val="0"/>
              <w:marTop w:val="0"/>
              <w:marBottom w:val="0"/>
              <w:divBdr>
                <w:top w:val="none" w:sz="0" w:space="0" w:color="auto"/>
                <w:left w:val="none" w:sz="0" w:space="0" w:color="auto"/>
                <w:bottom w:val="none" w:sz="0" w:space="0" w:color="auto"/>
                <w:right w:val="none" w:sz="0" w:space="0" w:color="auto"/>
              </w:divBdr>
              <w:divsChild>
                <w:div w:id="27062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5527836">
      <w:bodyDiv w:val="1"/>
      <w:marLeft w:val="0"/>
      <w:marRight w:val="0"/>
      <w:marTop w:val="0"/>
      <w:marBottom w:val="0"/>
      <w:divBdr>
        <w:top w:val="none" w:sz="0" w:space="0" w:color="auto"/>
        <w:left w:val="none" w:sz="0" w:space="0" w:color="auto"/>
        <w:bottom w:val="none" w:sz="0" w:space="0" w:color="auto"/>
        <w:right w:val="none" w:sz="0" w:space="0" w:color="auto"/>
      </w:divBdr>
      <w:divsChild>
        <w:div w:id="657685552">
          <w:marLeft w:val="0"/>
          <w:marRight w:val="0"/>
          <w:marTop w:val="0"/>
          <w:marBottom w:val="0"/>
          <w:divBdr>
            <w:top w:val="none" w:sz="0" w:space="0" w:color="auto"/>
            <w:left w:val="none" w:sz="0" w:space="0" w:color="auto"/>
            <w:bottom w:val="none" w:sz="0" w:space="0" w:color="auto"/>
            <w:right w:val="none" w:sz="0" w:space="0" w:color="auto"/>
          </w:divBdr>
        </w:div>
        <w:div w:id="1033265182">
          <w:marLeft w:val="0"/>
          <w:marRight w:val="0"/>
          <w:marTop w:val="0"/>
          <w:marBottom w:val="0"/>
          <w:divBdr>
            <w:top w:val="none" w:sz="0" w:space="0" w:color="auto"/>
            <w:left w:val="none" w:sz="0" w:space="0" w:color="auto"/>
            <w:bottom w:val="none" w:sz="0" w:space="0" w:color="auto"/>
            <w:right w:val="none" w:sz="0" w:space="0" w:color="auto"/>
          </w:divBdr>
          <w:divsChild>
            <w:div w:id="686829359">
              <w:marLeft w:val="0"/>
              <w:marRight w:val="0"/>
              <w:marTop w:val="0"/>
              <w:marBottom w:val="0"/>
              <w:divBdr>
                <w:top w:val="none" w:sz="0" w:space="0" w:color="auto"/>
                <w:left w:val="none" w:sz="0" w:space="0" w:color="auto"/>
                <w:bottom w:val="none" w:sz="0" w:space="0" w:color="auto"/>
                <w:right w:val="none" w:sz="0" w:space="0" w:color="auto"/>
              </w:divBdr>
              <w:divsChild>
                <w:div w:id="152227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8486789">
      <w:bodyDiv w:val="1"/>
      <w:marLeft w:val="0"/>
      <w:marRight w:val="0"/>
      <w:marTop w:val="0"/>
      <w:marBottom w:val="0"/>
      <w:divBdr>
        <w:top w:val="none" w:sz="0" w:space="0" w:color="auto"/>
        <w:left w:val="none" w:sz="0" w:space="0" w:color="auto"/>
        <w:bottom w:val="none" w:sz="0" w:space="0" w:color="auto"/>
        <w:right w:val="none" w:sz="0" w:space="0" w:color="auto"/>
      </w:divBdr>
      <w:divsChild>
        <w:div w:id="1004669778">
          <w:marLeft w:val="0"/>
          <w:marRight w:val="0"/>
          <w:marTop w:val="0"/>
          <w:marBottom w:val="0"/>
          <w:divBdr>
            <w:top w:val="none" w:sz="0" w:space="0" w:color="auto"/>
            <w:left w:val="none" w:sz="0" w:space="0" w:color="auto"/>
            <w:bottom w:val="none" w:sz="0" w:space="0" w:color="auto"/>
            <w:right w:val="none" w:sz="0" w:space="0" w:color="auto"/>
          </w:divBdr>
        </w:div>
        <w:div w:id="1649747787">
          <w:marLeft w:val="0"/>
          <w:marRight w:val="0"/>
          <w:marTop w:val="0"/>
          <w:marBottom w:val="0"/>
          <w:divBdr>
            <w:top w:val="none" w:sz="0" w:space="0" w:color="auto"/>
            <w:left w:val="none" w:sz="0" w:space="0" w:color="auto"/>
            <w:bottom w:val="none" w:sz="0" w:space="0" w:color="auto"/>
            <w:right w:val="none" w:sz="0" w:space="0" w:color="auto"/>
          </w:divBdr>
          <w:divsChild>
            <w:div w:id="924876041">
              <w:marLeft w:val="0"/>
              <w:marRight w:val="0"/>
              <w:marTop w:val="0"/>
              <w:marBottom w:val="0"/>
              <w:divBdr>
                <w:top w:val="none" w:sz="0" w:space="0" w:color="auto"/>
                <w:left w:val="none" w:sz="0" w:space="0" w:color="auto"/>
                <w:bottom w:val="none" w:sz="0" w:space="0" w:color="auto"/>
                <w:right w:val="none" w:sz="0" w:space="0" w:color="auto"/>
              </w:divBdr>
              <w:divsChild>
                <w:div w:id="165440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000461">
      <w:bodyDiv w:val="1"/>
      <w:marLeft w:val="0"/>
      <w:marRight w:val="0"/>
      <w:marTop w:val="0"/>
      <w:marBottom w:val="0"/>
      <w:divBdr>
        <w:top w:val="none" w:sz="0" w:space="0" w:color="auto"/>
        <w:left w:val="none" w:sz="0" w:space="0" w:color="auto"/>
        <w:bottom w:val="none" w:sz="0" w:space="0" w:color="auto"/>
        <w:right w:val="none" w:sz="0" w:space="0" w:color="auto"/>
      </w:divBdr>
      <w:divsChild>
        <w:div w:id="2090803423">
          <w:marLeft w:val="0"/>
          <w:marRight w:val="0"/>
          <w:marTop w:val="0"/>
          <w:marBottom w:val="0"/>
          <w:divBdr>
            <w:top w:val="none" w:sz="0" w:space="0" w:color="auto"/>
            <w:left w:val="none" w:sz="0" w:space="0" w:color="auto"/>
            <w:bottom w:val="none" w:sz="0" w:space="0" w:color="auto"/>
            <w:right w:val="none" w:sz="0" w:space="0" w:color="auto"/>
          </w:divBdr>
        </w:div>
        <w:div w:id="622345273">
          <w:marLeft w:val="0"/>
          <w:marRight w:val="0"/>
          <w:marTop w:val="0"/>
          <w:marBottom w:val="0"/>
          <w:divBdr>
            <w:top w:val="none" w:sz="0" w:space="0" w:color="auto"/>
            <w:left w:val="none" w:sz="0" w:space="0" w:color="auto"/>
            <w:bottom w:val="none" w:sz="0" w:space="0" w:color="auto"/>
            <w:right w:val="none" w:sz="0" w:space="0" w:color="auto"/>
          </w:divBdr>
          <w:divsChild>
            <w:div w:id="30300597">
              <w:marLeft w:val="0"/>
              <w:marRight w:val="0"/>
              <w:marTop w:val="0"/>
              <w:marBottom w:val="0"/>
              <w:divBdr>
                <w:top w:val="none" w:sz="0" w:space="0" w:color="auto"/>
                <w:left w:val="none" w:sz="0" w:space="0" w:color="auto"/>
                <w:bottom w:val="none" w:sz="0" w:space="0" w:color="auto"/>
                <w:right w:val="none" w:sz="0" w:space="0" w:color="auto"/>
              </w:divBdr>
              <w:divsChild>
                <w:div w:id="28280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073368">
      <w:bodyDiv w:val="1"/>
      <w:marLeft w:val="0"/>
      <w:marRight w:val="0"/>
      <w:marTop w:val="0"/>
      <w:marBottom w:val="0"/>
      <w:divBdr>
        <w:top w:val="none" w:sz="0" w:space="0" w:color="auto"/>
        <w:left w:val="none" w:sz="0" w:space="0" w:color="auto"/>
        <w:bottom w:val="none" w:sz="0" w:space="0" w:color="auto"/>
        <w:right w:val="none" w:sz="0" w:space="0" w:color="auto"/>
      </w:divBdr>
      <w:divsChild>
        <w:div w:id="160967669">
          <w:marLeft w:val="0"/>
          <w:marRight w:val="0"/>
          <w:marTop w:val="0"/>
          <w:marBottom w:val="0"/>
          <w:divBdr>
            <w:top w:val="none" w:sz="0" w:space="0" w:color="auto"/>
            <w:left w:val="none" w:sz="0" w:space="0" w:color="auto"/>
            <w:bottom w:val="none" w:sz="0" w:space="0" w:color="auto"/>
            <w:right w:val="none" w:sz="0" w:space="0" w:color="auto"/>
          </w:divBdr>
          <w:divsChild>
            <w:div w:id="24063601">
              <w:marLeft w:val="0"/>
              <w:marRight w:val="0"/>
              <w:marTop w:val="0"/>
              <w:marBottom w:val="0"/>
              <w:divBdr>
                <w:top w:val="none" w:sz="0" w:space="0" w:color="auto"/>
                <w:left w:val="none" w:sz="0" w:space="0" w:color="auto"/>
                <w:bottom w:val="none" w:sz="0" w:space="0" w:color="auto"/>
                <w:right w:val="none" w:sz="0" w:space="0" w:color="auto"/>
              </w:divBdr>
              <w:divsChild>
                <w:div w:id="603415652">
                  <w:marLeft w:val="0"/>
                  <w:marRight w:val="0"/>
                  <w:marTop w:val="0"/>
                  <w:marBottom w:val="0"/>
                  <w:divBdr>
                    <w:top w:val="none" w:sz="0" w:space="0" w:color="auto"/>
                    <w:left w:val="none" w:sz="0" w:space="0" w:color="auto"/>
                    <w:bottom w:val="none" w:sz="0" w:space="0" w:color="auto"/>
                    <w:right w:val="none" w:sz="0" w:space="0" w:color="auto"/>
                  </w:divBdr>
                </w:div>
              </w:divsChild>
            </w:div>
            <w:div w:id="33584278">
              <w:marLeft w:val="0"/>
              <w:marRight w:val="0"/>
              <w:marTop w:val="0"/>
              <w:marBottom w:val="0"/>
              <w:divBdr>
                <w:top w:val="none" w:sz="0" w:space="0" w:color="auto"/>
                <w:left w:val="none" w:sz="0" w:space="0" w:color="auto"/>
                <w:bottom w:val="none" w:sz="0" w:space="0" w:color="auto"/>
                <w:right w:val="none" w:sz="0" w:space="0" w:color="auto"/>
              </w:divBdr>
              <w:divsChild>
                <w:div w:id="1069306689">
                  <w:marLeft w:val="0"/>
                  <w:marRight w:val="0"/>
                  <w:marTop w:val="0"/>
                  <w:marBottom w:val="0"/>
                  <w:divBdr>
                    <w:top w:val="none" w:sz="0" w:space="0" w:color="auto"/>
                    <w:left w:val="none" w:sz="0" w:space="0" w:color="auto"/>
                    <w:bottom w:val="none" w:sz="0" w:space="0" w:color="auto"/>
                    <w:right w:val="none" w:sz="0" w:space="0" w:color="auto"/>
                  </w:divBdr>
                </w:div>
              </w:divsChild>
            </w:div>
            <w:div w:id="163906330">
              <w:marLeft w:val="0"/>
              <w:marRight w:val="0"/>
              <w:marTop w:val="0"/>
              <w:marBottom w:val="0"/>
              <w:divBdr>
                <w:top w:val="none" w:sz="0" w:space="0" w:color="auto"/>
                <w:left w:val="none" w:sz="0" w:space="0" w:color="auto"/>
                <w:bottom w:val="none" w:sz="0" w:space="0" w:color="auto"/>
                <w:right w:val="none" w:sz="0" w:space="0" w:color="auto"/>
              </w:divBdr>
              <w:divsChild>
                <w:div w:id="1238132910">
                  <w:marLeft w:val="0"/>
                  <w:marRight w:val="0"/>
                  <w:marTop w:val="0"/>
                  <w:marBottom w:val="0"/>
                  <w:divBdr>
                    <w:top w:val="none" w:sz="0" w:space="0" w:color="auto"/>
                    <w:left w:val="none" w:sz="0" w:space="0" w:color="auto"/>
                    <w:bottom w:val="none" w:sz="0" w:space="0" w:color="auto"/>
                    <w:right w:val="none" w:sz="0" w:space="0" w:color="auto"/>
                  </w:divBdr>
                </w:div>
              </w:divsChild>
            </w:div>
            <w:div w:id="2018998284">
              <w:marLeft w:val="0"/>
              <w:marRight w:val="0"/>
              <w:marTop w:val="0"/>
              <w:marBottom w:val="0"/>
              <w:divBdr>
                <w:top w:val="none" w:sz="0" w:space="0" w:color="auto"/>
                <w:left w:val="none" w:sz="0" w:space="0" w:color="auto"/>
                <w:bottom w:val="none" w:sz="0" w:space="0" w:color="auto"/>
                <w:right w:val="none" w:sz="0" w:space="0" w:color="auto"/>
              </w:divBdr>
              <w:divsChild>
                <w:div w:id="192436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46905">
          <w:marLeft w:val="0"/>
          <w:marRight w:val="0"/>
          <w:marTop w:val="0"/>
          <w:marBottom w:val="0"/>
          <w:divBdr>
            <w:top w:val="none" w:sz="0" w:space="0" w:color="auto"/>
            <w:left w:val="none" w:sz="0" w:space="0" w:color="auto"/>
            <w:bottom w:val="none" w:sz="0" w:space="0" w:color="auto"/>
            <w:right w:val="none" w:sz="0" w:space="0" w:color="auto"/>
          </w:divBdr>
          <w:divsChild>
            <w:div w:id="2046320940">
              <w:marLeft w:val="0"/>
              <w:marRight w:val="0"/>
              <w:marTop w:val="0"/>
              <w:marBottom w:val="0"/>
              <w:divBdr>
                <w:top w:val="none" w:sz="0" w:space="0" w:color="auto"/>
                <w:left w:val="none" w:sz="0" w:space="0" w:color="auto"/>
                <w:bottom w:val="none" w:sz="0" w:space="0" w:color="auto"/>
                <w:right w:val="none" w:sz="0" w:space="0" w:color="auto"/>
              </w:divBdr>
            </w:div>
            <w:div w:id="434667426">
              <w:marLeft w:val="0"/>
              <w:marRight w:val="0"/>
              <w:marTop w:val="0"/>
              <w:marBottom w:val="0"/>
              <w:divBdr>
                <w:top w:val="none" w:sz="0" w:space="0" w:color="auto"/>
                <w:left w:val="none" w:sz="0" w:space="0" w:color="auto"/>
                <w:bottom w:val="none" w:sz="0" w:space="0" w:color="auto"/>
                <w:right w:val="none" w:sz="0" w:space="0" w:color="auto"/>
              </w:divBdr>
              <w:divsChild>
                <w:div w:id="172556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1.next.westlaw.com/Link/Document/FullText?findType=Y&amp;serNum=1928126227&amp;pubNum=0000780&amp;originatingDoc=Ic909729036a711eba000a35ba47312ff&amp;refType=RP&amp;fi=co_pp_sp_780_409&amp;originationContext=document&amp;transitionType=DocumentItem&amp;contextData=(sc.Search)" TargetMode="External"/><Relationship Id="rId117"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21" Type="http://schemas.openxmlformats.org/officeDocument/2006/relationships/hyperlink" Target="https://1.next.westlaw.com/Link/Document/FullText?findType=Y&amp;serNum=1825197900&amp;pubNum=0000780&amp;originatingDoc=I829fca20975011ebbbbbabec583fa227&amp;refType=RP&amp;fi=co_pp_sp_780_42&amp;originationContext=document&amp;transitionType=DocumentItem&amp;contextData=(sc.Search)" TargetMode="External"/><Relationship Id="rId42" Type="http://schemas.openxmlformats.org/officeDocument/2006/relationships/hyperlink" Target="https://1.next.westlaw.com/Link/Document/FullText?findType=Y&amp;serNum=1989010615&amp;pubNum=0000780&amp;originatingDoc=I59f953c0b74511eabb91c2e2bc8b49a5&amp;refType=RP&amp;fi=co_pp_sp_780_372&amp;originationContext=document&amp;transitionType=DocumentItem&amp;contextData=(sc.Search)" TargetMode="External"/><Relationship Id="rId47"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63"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68" Type="http://schemas.openxmlformats.org/officeDocument/2006/relationships/hyperlink" Target="https://1.next.westlaw.com/Link/Document/FullText?findType=Y&amp;serNum=1932123409&amp;pubNum=0000780&amp;originatingDoc=I59f953c0b74511eabb91c2e2bc8b49a5&amp;refType=RP&amp;fi=co_pp_sp_780_24&amp;originationContext=document&amp;transitionType=DocumentItem&amp;contextData=(sc.Search)" TargetMode="External"/><Relationship Id="rId84" Type="http://schemas.openxmlformats.org/officeDocument/2006/relationships/hyperlink" Target="https://1.next.westlaw.com/Link/Document/FullText?findType=Y&amp;serNum=2048519603&amp;pubNum=0000708&amp;originatingDoc=I59f953c0b74511eabb91c2e2bc8b49a5&amp;refType=RP&amp;fi=co_pp_sp_708_2123&amp;originationContext=document&amp;transitionType=DocumentItem&amp;contextData=(sc.Search)" TargetMode="External"/><Relationship Id="rId89" Type="http://schemas.openxmlformats.org/officeDocument/2006/relationships/hyperlink" Target="https://1.next.westlaw.com/Link/Document/FullText?findType=Y&amp;serNum=2048519603&amp;pubNum=0000708&amp;originatingDoc=I59f953c0b74511eabb91c2e2bc8b49a5&amp;refType=RP&amp;fi=co_pp_sp_708_2126&amp;originationContext=document&amp;transitionType=DocumentItem&amp;contextData=(sc.Search)" TargetMode="External"/><Relationship Id="rId112" Type="http://schemas.openxmlformats.org/officeDocument/2006/relationships/hyperlink" Target="https://1.next.westlaw.com/Link/Document/FullText?findType=l&amp;pubNum=1077005&amp;cite=UUID(I02B56A301E-6711DB9A168-1E74C394751)&amp;originatingDoc=I59f953c0b74511eabb91c2e2bc8b49a5&amp;refType=SL&amp;originationContext=document&amp;transitionType=DocumentItem&amp;contextData=(sc.Search)" TargetMode="External"/><Relationship Id="rId16" Type="http://schemas.openxmlformats.org/officeDocument/2006/relationships/hyperlink" Target="https://1.next.westlaw.com/Link/Document/FullText?findType=L&amp;pubNum=1000546&amp;cite=25USCAS1915&amp;originatingDoc=I829fca20975011ebbbbbabec583fa227&amp;refType=RB&amp;originationContext=document&amp;transitionType=DocumentItem&amp;contextData=(sc.Search)" TargetMode="External"/><Relationship Id="rId107" Type="http://schemas.openxmlformats.org/officeDocument/2006/relationships/hyperlink" Target="https://1.next.westlaw.com/Link/Document/FullText?findType=Y&amp;serNum=2048519603&amp;pubNum=0000708&amp;originatingDoc=I59f953c0b74511eabb91c2e2bc8b49a5&amp;refType=RP&amp;fi=co_pp_sp_708_2121&amp;originationContext=document&amp;transitionType=DocumentItem&amp;contextData=(sc.Search)" TargetMode="External"/><Relationship Id="rId11" Type="http://schemas.openxmlformats.org/officeDocument/2006/relationships/hyperlink" Target="https://1.next.westlaw.com/Link/Document/FullText?findType=L&amp;pubNum=1000583&amp;cite=USCOARTIS1&amp;originatingDoc=I829fca20975011ebbbbbabec583fa227&amp;refType=LQ&amp;originationContext=document&amp;transitionType=DocumentItem&amp;contextData=(sc.Search)" TargetMode="External"/><Relationship Id="rId32" Type="http://schemas.openxmlformats.org/officeDocument/2006/relationships/hyperlink" Target="https://1.next.westlaw.com/Link/Document/FullText?findType=L&amp;pubNum=1000583&amp;cite=USCOARTIS1&amp;originatingDoc=I59f953c0b74511eabb91c2e2bc8b49a5&amp;refType=LQ&amp;originationContext=document&amp;transitionType=DocumentItem&amp;contextData=(sc.Search)" TargetMode="External"/><Relationship Id="rId37"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53"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58" Type="http://schemas.openxmlformats.org/officeDocument/2006/relationships/hyperlink" Target="https://1.next.westlaw.com/Link/Document/FullText?findType=Y&amp;serNum=1935123814&amp;pubNum=0000780&amp;originatingDoc=I59f953c0b74511eabb91c2e2bc8b49a5&amp;refType=RP&amp;fi=co_pp_sp_780_542&amp;originationContext=document&amp;transitionType=DocumentItem&amp;contextData=(sc.Search)" TargetMode="External"/><Relationship Id="rId74"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79" Type="http://schemas.openxmlformats.org/officeDocument/2006/relationships/hyperlink" Target="https://1.next.westlaw.com/Link/Document/FullText?findType=Y&amp;serNum=2048519603&amp;pubNum=0000708&amp;originatingDoc=I59f953c0b74511eabb91c2e2bc8b49a5&amp;refType=RP&amp;originationContext=document&amp;transitionType=DocumentItem&amp;contextData=(sc.Search)" TargetMode="External"/><Relationship Id="rId102" Type="http://schemas.openxmlformats.org/officeDocument/2006/relationships/hyperlink" Target="https://1.next.westlaw.com/Link/Document/FullText?findType=Y&amp;serNum=1935123814&amp;pubNum=0000780&amp;originatingDoc=I59f953c0b74511eabb91c2e2bc8b49a5&amp;refType=RP&amp;fi=co_pp_sp_780_541&amp;originationContext=document&amp;transitionType=DocumentItem&amp;contextData=(sc.Search)" TargetMode="External"/><Relationship Id="rId123" Type="http://schemas.openxmlformats.org/officeDocument/2006/relationships/fontTable" Target="fontTable.xml"/><Relationship Id="rId5" Type="http://schemas.openxmlformats.org/officeDocument/2006/relationships/hyperlink" Target="https://1.next.westlaw.com/Link/Document/FullText?findType=Y&amp;serNum=2048519603&amp;pubNum=0000708&amp;originatingDoc=I829fca20975011ebbbbbabec583fa227&amp;refType=RP&amp;fi=co_pp_sp_708_2121&amp;originationContext=document&amp;transitionType=DocumentItem&amp;contextData=(sc.Search)" TargetMode="External"/><Relationship Id="rId90" Type="http://schemas.openxmlformats.org/officeDocument/2006/relationships/hyperlink" Target="https://1.next.westlaw.com/Link/Document/FullText?findType=Y&amp;serNum=1935124094&amp;pubNum=0000780&amp;originatingDoc=I59f953c0b74511eabb91c2e2bc8b49a5&amp;refType=RP&amp;fi=co_pp_sp_780_433&amp;originationContext=document&amp;transitionType=DocumentItem&amp;contextData=(sc.Search)" TargetMode="External"/><Relationship Id="rId95" Type="http://schemas.openxmlformats.org/officeDocument/2006/relationships/hyperlink" Target="https://1.next.westlaw.com/Link/Document/FullText?findType=Y&amp;serNum=1935124094&amp;pubNum=0000780&amp;originatingDoc=I59f953c0b74511eabb91c2e2bc8b49a5&amp;refType=RP&amp;fi=co_pp_sp_780_406&amp;originationContext=document&amp;transitionType=DocumentItem&amp;contextData=(sc.Search)" TargetMode="External"/><Relationship Id="rId22" Type="http://schemas.openxmlformats.org/officeDocument/2006/relationships/hyperlink" Target="https://1.next.westlaw.com/Link/Document/FullText?findType=Y&amp;serNum=1935123814&amp;pubNum=0000780&amp;originatingDoc=I829fca20975011ebbbbbabec583fa227&amp;refType=RP&amp;fi=co_pp_sp_780_529&amp;originationContext=document&amp;transitionType=DocumentItem&amp;contextData=(sc.Search)" TargetMode="External"/><Relationship Id="rId27" Type="http://schemas.openxmlformats.org/officeDocument/2006/relationships/hyperlink" Target="https://1.next.westlaw.com/Link/Document/FullText?findType=Y&amp;serNum=2001175402&amp;pubNum=0000780&amp;originatingDoc=Ic909729036a711eba000a35ba47312ff&amp;refType=RP&amp;fi=co_pp_sp_780_475&amp;originationContext=document&amp;transitionType=DocumentItem&amp;contextData=(sc.Search)" TargetMode="External"/><Relationship Id="rId43" Type="http://schemas.openxmlformats.org/officeDocument/2006/relationships/hyperlink" Target="https://1.next.westlaw.com/Link/Document/FullText?findType=Y&amp;serNum=1944118103&amp;pubNum=0000780&amp;originatingDoc=I59f953c0b74511eabb91c2e2bc8b49a5&amp;refType=RP&amp;fi=co_pp_sp_780_425&amp;originationContext=document&amp;transitionType=DocumentItem&amp;contextData=(sc.Search)" TargetMode="External"/><Relationship Id="rId48" Type="http://schemas.openxmlformats.org/officeDocument/2006/relationships/hyperlink" Target="https://1.next.westlaw.com/Link/Document/FullText?findType=Y&amp;serNum=2048519603&amp;pubNum=0000708&amp;originatingDoc=I59f953c0b74511eabb91c2e2bc8b49a5&amp;refType=RP&amp;fi=co_pp_sp_708_2129&amp;originationContext=document&amp;transitionType=DocumentItem&amp;contextData=(sc.Search)" TargetMode="External"/><Relationship Id="rId64"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69" Type="http://schemas.openxmlformats.org/officeDocument/2006/relationships/hyperlink" Target="https://1.next.westlaw.com/Link/Document/FullText?findType=Y&amp;serNum=1946112654&amp;pubNum=0000780&amp;originatingDoc=I59f953c0b74511eabb91c2e2bc8b49a5&amp;refType=RP&amp;fi=co_pp_sp_780_104&amp;originationContext=document&amp;transitionType=DocumentItem&amp;contextData=(sc.Search)" TargetMode="External"/><Relationship Id="rId113" Type="http://schemas.openxmlformats.org/officeDocument/2006/relationships/hyperlink" Target="https://1.next.westlaw.com/Link/Document/FullText?findType=L&amp;pubNum=1000546&amp;cite=34USCAS20901&amp;originatingDoc=I59f953c0b74511eabb91c2e2bc8b49a5&amp;refType=LQ&amp;originationContext=document&amp;transitionType=DocumentItem&amp;contextData=(sc.Search)" TargetMode="External"/><Relationship Id="rId118"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80" Type="http://schemas.openxmlformats.org/officeDocument/2006/relationships/hyperlink" Target="https://1.next.westlaw.com/Link/Document/FullText?findType=Y&amp;serNum=2049693051&amp;pubNum=0000708&amp;originatingDoc=I59f953c0b74511eabb91c2e2bc8b49a5&amp;refType=RP&amp;originationContext=document&amp;transitionType=DocumentItem&amp;contextData=(sc.Search)" TargetMode="External"/><Relationship Id="rId85"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2" Type="http://schemas.openxmlformats.org/officeDocument/2006/relationships/hyperlink" Target="https://1.next.westlaw.com/Link/Document/FullText?findType=Y&amp;serNum=1892180033&amp;pubNum=0000780&amp;originatingDoc=I829fca20975011ebbbbbabec583fa227&amp;refType=RP&amp;fi=co_pp_sp_780_692&amp;originationContext=document&amp;transitionType=DocumentItem&amp;contextData=(sc.Search)" TargetMode="External"/><Relationship Id="rId17" Type="http://schemas.openxmlformats.org/officeDocument/2006/relationships/hyperlink" Target="https://1.next.westlaw.com/Link/Document/FullText?findType=L&amp;pubNum=1000546&amp;cite=25USCAS1915&amp;originatingDoc=I829fca20975011ebbbbbabec583fa227&amp;refType=RB&amp;originationContext=document&amp;transitionType=DocumentItem&amp;contextData=(sc.Search)" TargetMode="External"/><Relationship Id="rId33" Type="http://schemas.openxmlformats.org/officeDocument/2006/relationships/hyperlink" Target="https://1.next.westlaw.com/Link/Document/FullText?findType=Y&amp;serNum=2048519603&amp;pubNum=0000708&amp;originatingDoc=I59f953c0b74511eabb91c2e2bc8b49a5&amp;refType=RP&amp;fi=co_pp_sp_708_2123&amp;originationContext=document&amp;transitionType=DocumentItem&amp;contextData=(sc.Search)" TargetMode="External"/><Relationship Id="rId38"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59"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03" Type="http://schemas.openxmlformats.org/officeDocument/2006/relationships/hyperlink" Target="https://1.next.westlaw.com/Link/Document/FullText?findType=Y&amp;serNum=1935124094&amp;pubNum=0000780&amp;originatingDoc=I59f953c0b74511eabb91c2e2bc8b49a5&amp;refType=RP&amp;fi=co_pp_sp_780_433&amp;originationContext=document&amp;transitionType=DocumentItem&amp;contextData=(sc.Search)" TargetMode="External"/><Relationship Id="rId108" Type="http://schemas.openxmlformats.org/officeDocument/2006/relationships/hyperlink" Target="https://1.next.westlaw.com/Link/Document/FullText?findType=Y&amp;serNum=2048519603&amp;pubNum=0000708&amp;originatingDoc=I59f953c0b74511eabb91c2e2bc8b49a5&amp;refType=RP&amp;fi=co_pp_sp_708_2122&amp;originationContext=document&amp;transitionType=DocumentItem&amp;contextData=(sc.Search)" TargetMode="External"/><Relationship Id="rId124" Type="http://schemas.openxmlformats.org/officeDocument/2006/relationships/theme" Target="theme/theme1.xml"/><Relationship Id="rId54" Type="http://schemas.openxmlformats.org/officeDocument/2006/relationships/hyperlink" Target="https://1.next.westlaw.com/Link/Document/FullText?findType=Y&amp;serNum=1911103434&amp;pubNum=0000780&amp;originatingDoc=I59f953c0b74511eabb91c2e2bc8b49a5&amp;refType=RP&amp;fi=co_pp_sp_780_517&amp;originationContext=document&amp;transitionType=DocumentItem&amp;contextData=(sc.Search)" TargetMode="External"/><Relationship Id="rId70" Type="http://schemas.openxmlformats.org/officeDocument/2006/relationships/hyperlink" Target="https://1.next.westlaw.com/Link/Document/FullText?findType=Y&amp;serNum=1944118103&amp;pubNum=0000780&amp;originatingDoc=I59f953c0b74511eabb91c2e2bc8b49a5&amp;refType=RP&amp;fi=co_pp_sp_780_426&amp;originationContext=document&amp;transitionType=DocumentItem&amp;contextData=(sc.Search)" TargetMode="External"/><Relationship Id="rId75" Type="http://schemas.openxmlformats.org/officeDocument/2006/relationships/hyperlink" Target="https://1.next.westlaw.com/Link/Document/FullText?findType=Y&amp;serNum=1980116814&amp;pubNum=0000780&amp;originatingDoc=I59f953c0b74511eabb91c2e2bc8b49a5&amp;refType=RP&amp;fi=co_pp_sp_780_686&amp;originationContext=document&amp;transitionType=DocumentItem&amp;contextData=(sc.Search)" TargetMode="External"/><Relationship Id="rId91" Type="http://schemas.openxmlformats.org/officeDocument/2006/relationships/hyperlink" Target="https://1.next.westlaw.com/Link/Document/FullText?findType=Y&amp;serNum=1935123814&amp;pubNum=0000780&amp;originatingDoc=I59f953c0b74511eabb91c2e2bc8b49a5&amp;refType=RP&amp;fi=co_pp_sp_780_542&amp;originationContext=document&amp;transitionType=DocumentItem&amp;contextData=(sc.Search)" TargetMode="External"/><Relationship Id="rId96" Type="http://schemas.openxmlformats.org/officeDocument/2006/relationships/hyperlink" Target="https://1.next.westlaw.com/Link/Document/FullText?findType=Y&amp;serNum=1935123814&amp;pubNum=0000780&amp;originatingDoc=I59f953c0b74511eabb91c2e2bc8b49a5&amp;refType=RP&amp;fi=co_pp_sp_780_521&amp;originationContext=document&amp;transitionType=DocumentItem&amp;contextData=(sc.Search)" TargetMode="External"/><Relationship Id="rId1" Type="http://schemas.openxmlformats.org/officeDocument/2006/relationships/styles" Target="styles.xml"/><Relationship Id="rId6" Type="http://schemas.openxmlformats.org/officeDocument/2006/relationships/hyperlink" Target="https://1.next.westlaw.com/Link/Document/FullText?findType=Y&amp;serNum=2001175402&amp;pubNum=0000780&amp;originatingDoc=I829fca20975011ebbbbbabec583fa227&amp;refType=RP&amp;fi=co_pp_sp_780_472&amp;originationContext=document&amp;transitionType=DocumentItem&amp;contextData=(sc.Search)" TargetMode="External"/><Relationship Id="rId23" Type="http://schemas.openxmlformats.org/officeDocument/2006/relationships/hyperlink" Target="https://1.next.westlaw.com/Document/Ic909729036a711eba000a35ba47312ff/View/FullText.html?navigationPath=Search%2Fv1%2Fresults%2Fnavigation%2Fi0ad740120000017ac9a19e1f759b5353%3Fppcid%3D6b6ee9d436414540af2ee4967901730b%26Nav%3DCASE%26fragmentIdentifier%3DIc909729036a711eba000a35ba47312ff%26parentRank%3D0%26startIndex%3D1%26contextData%3D%2528sc.Search%2529%26transitionType%3DSearchItem&amp;listSource=Search&amp;listPageSource=b692c4bce7a272cff17a5d31ab69db1f&amp;list=CASE&amp;rank=2&amp;sessionScopeId=d88c03dc0cd7aeeab7b140972dc91204a736facd19285e7b0c70ea3a85bccd8b&amp;ppcid=6b6ee9d436414540af2ee4967901730b&amp;originationContext=Search%20Result&amp;transitionType=SearchItem&amp;contextData=%28sc.Search%29" TargetMode="External"/><Relationship Id="rId28" Type="http://schemas.openxmlformats.org/officeDocument/2006/relationships/hyperlink" Target="https://1.next.westlaw.com/Link/Document/FullText?findType=L&amp;pubNum=1000546&amp;cite=50USCAS1515&amp;originatingDoc=Ic909729036a711eba000a35ba47312ff&amp;refType=LQ&amp;originationContext=document&amp;transitionType=DocumentItem&amp;contextData=(sc.Search)" TargetMode="External"/><Relationship Id="rId49" Type="http://schemas.openxmlformats.org/officeDocument/2006/relationships/hyperlink" Target="https://1.next.westlaw.com/Link/Document/FullText?findType=Y&amp;serNum=2048519603&amp;pubNum=0000708&amp;originatingDoc=I59f953c0b74511eabb91c2e2bc8b49a5&amp;refType=RP&amp;fi=co_pp_sp_708_2140&amp;originationContext=document&amp;transitionType=DocumentItem&amp;contextData=(sc.Search)" TargetMode="External"/><Relationship Id="rId114" Type="http://schemas.openxmlformats.org/officeDocument/2006/relationships/hyperlink" Target="https://1.next.westlaw.com/Link/Document/FullText?findType=Y&amp;serNum=2048519603&amp;pubNum=0000708&amp;originatingDoc=I59f953c0b74511eabb91c2e2bc8b49a5&amp;refType=RP&amp;fi=co_pp_sp_708_2126&amp;originationContext=document&amp;transitionType=DocumentItem&amp;contextData=(sc.Search)" TargetMode="External"/><Relationship Id="rId119" Type="http://schemas.openxmlformats.org/officeDocument/2006/relationships/hyperlink" Target="https://1.next.westlaw.com/Link/Document/FullText?findType=Y&amp;serNum=2048519603&amp;pubNum=0000708&amp;originatingDoc=I59f953c0b74511eabb91c2e2bc8b49a5&amp;refType=RP&amp;fi=co_pp_sp_708_2121&amp;originationContext=document&amp;transitionType=DocumentItem&amp;contextData=(sc.Search)" TargetMode="External"/><Relationship Id="rId44" Type="http://schemas.openxmlformats.org/officeDocument/2006/relationships/hyperlink" Target="https://1.next.westlaw.com/Link/Document/FullText?findType=Y&amp;serNum=1928126227&amp;pubNum=0000780&amp;originatingDoc=I59f953c0b74511eabb91c2e2bc8b49a5&amp;refType=RP&amp;fi=co_pp_sp_780_409&amp;originationContext=document&amp;transitionType=DocumentItem&amp;contextData=(sc.Search)" TargetMode="External"/><Relationship Id="rId60"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65" Type="http://schemas.openxmlformats.org/officeDocument/2006/relationships/hyperlink" Target="https://1.next.westlaw.com/Link/Document/FullText?findType=Y&amp;serNum=1989010615&amp;pubNum=0000780&amp;originatingDoc=I59f953c0b74511eabb91c2e2bc8b49a5&amp;refType=RP&amp;fi=co_pp_sp_780_373&amp;originationContext=document&amp;transitionType=DocumentItem&amp;contextData=(sc.Search)" TargetMode="External"/><Relationship Id="rId81" Type="http://schemas.openxmlformats.org/officeDocument/2006/relationships/hyperlink" Target="https://1.next.westlaw.com/Link/Document/FullText?findType=Y&amp;serNum=2048519603&amp;pubNum=0000708&amp;originatingDoc=I59f953c0b74511eabb91c2e2bc8b49a5&amp;refType=RP&amp;originationContext=document&amp;transitionType=DocumentItem&amp;contextData=(sc.Search)" TargetMode="External"/><Relationship Id="rId86"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4" Type="http://schemas.openxmlformats.org/officeDocument/2006/relationships/hyperlink" Target="https://1.next.westlaw.com/Link/Document/FullText?findType=Y&amp;serNum=1989010615&amp;pubNum=0000780&amp;originatingDoc=I829fca20975011ebbbbbabec583fa227&amp;refType=RP&amp;fi=co_pp_sp_780_371&amp;originationContext=document&amp;transitionType=DocumentItem&amp;contextData=(sc.Search)" TargetMode="External"/><Relationship Id="rId9" Type="http://schemas.openxmlformats.org/officeDocument/2006/relationships/hyperlink" Target="https://1.next.westlaw.com/Link/Document/FullText?findType=L&amp;pubNum=1000546&amp;cite=25USCAS1915&amp;originatingDoc=I829fca20975011ebbbbbabec583fa227&amp;refType=RB&amp;originationContext=document&amp;transitionType=DocumentItem&amp;contextData=(sc.Search)" TargetMode="External"/><Relationship Id="rId13" Type="http://schemas.openxmlformats.org/officeDocument/2006/relationships/hyperlink" Target="https://1.next.westlaw.com/Link/Document/FullText?findType=L&amp;pubNum=1000546&amp;cite=25USCAS1915&amp;originatingDoc=I829fca20975011ebbbbbabec583fa227&amp;refType=RB&amp;originationContext=document&amp;transitionType=DocumentItem&amp;contextData=(sc.Search)" TargetMode="External"/><Relationship Id="rId18" Type="http://schemas.openxmlformats.org/officeDocument/2006/relationships/hyperlink" Target="https://1.next.westlaw.com/Link/Document/FullText?findType=Y&amp;serNum=2045705108&amp;pubNum=0007903&amp;originatingDoc=I829fca20975011ebbbbbabec583fa227&amp;refType=RP&amp;fi=co_pp_sp_7903_537&amp;originationContext=document&amp;transitionType=DocumentItem&amp;contextData=(sc.Search)" TargetMode="External"/><Relationship Id="rId39"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09" Type="http://schemas.openxmlformats.org/officeDocument/2006/relationships/hyperlink" Target="https://1.next.westlaw.com/Link/Document/FullText?findType=L&amp;pubNum=1000546&amp;cite=34USCAS20913&amp;originatingDoc=I59f953c0b74511eabb91c2e2bc8b49a5&amp;refType=RB&amp;originationContext=document&amp;transitionType=DocumentItem&amp;contextData=(sc.Search)" TargetMode="External"/><Relationship Id="rId34" Type="http://schemas.openxmlformats.org/officeDocument/2006/relationships/hyperlink" Target="https://1.next.westlaw.com/Link/Document/FullText?findType=Y&amp;serNum=1989010615&amp;pubNum=0000780&amp;originatingDoc=I59f953c0b74511eabb91c2e2bc8b49a5&amp;refType=RP&amp;fi=co_pp_sp_780_371&amp;originationContext=document&amp;transitionType=DocumentItem&amp;contextData=(sc.Search)" TargetMode="External"/><Relationship Id="rId50" Type="http://schemas.openxmlformats.org/officeDocument/2006/relationships/hyperlink" Target="https://1.next.westlaw.com/Link/Document/FullText?findType=Y&amp;serNum=0288350708&amp;pubNum=0001359&amp;originatingDoc=I59f953c0b74511eabb91c2e2bc8b49a5&amp;refType=LR&amp;fi=co_pp_sp_1359_329&amp;originationContext=document&amp;transitionType=DocumentItem&amp;contextData=(sc.Search)" TargetMode="External"/><Relationship Id="rId55" Type="http://schemas.openxmlformats.org/officeDocument/2006/relationships/hyperlink" Target="https://1.next.westlaw.com/Link/Document/FullText?findType=Y&amp;serNum=1825197900&amp;pubNum=0000780&amp;originatingDoc=I59f953c0b74511eabb91c2e2bc8b49a5&amp;refType=RP&amp;fi=co_pp_sp_780_41&amp;originationContext=document&amp;transitionType=DocumentItem&amp;contextData=(sc.Search)" TargetMode="External"/><Relationship Id="rId76"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97" Type="http://schemas.openxmlformats.org/officeDocument/2006/relationships/hyperlink" Target="https://1.next.westlaw.com/Link/Document/FullText?findType=Y&amp;serNum=1935124094&amp;pubNum=0000780&amp;originatingDoc=I59f953c0b74511eabb91c2e2bc8b49a5&amp;refType=RP&amp;fi=co_pp_sp_780_418&amp;originationContext=document&amp;transitionType=DocumentItem&amp;contextData=(sc.Search)" TargetMode="External"/><Relationship Id="rId104" Type="http://schemas.openxmlformats.org/officeDocument/2006/relationships/hyperlink" Target="https://1.next.westlaw.com/Link/Document/FullText?findType=Y&amp;serNum=1935123814&amp;pubNum=0000780&amp;originatingDoc=I59f953c0b74511eabb91c2e2bc8b49a5&amp;refType=RP&amp;fi=co_pp_sp_780_542&amp;originationContext=document&amp;transitionType=DocumentItem&amp;contextData=(sc.Search)" TargetMode="External"/><Relationship Id="rId120" Type="http://schemas.openxmlformats.org/officeDocument/2006/relationships/hyperlink" Target="https://1.next.westlaw.com/Link/Document/FullText?findType=Y&amp;serNum=2048519603&amp;pubNum=0000708&amp;originatingDoc=I59f953c0b74511eabb91c2e2bc8b49a5&amp;refType=RP&amp;fi=co_pp_sp_708_2131&amp;originationContext=document&amp;transitionType=DocumentItem&amp;contextData=(sc.Search)" TargetMode="External"/><Relationship Id="rId7" Type="http://schemas.openxmlformats.org/officeDocument/2006/relationships/hyperlink" Target="https://1.next.westlaw.com/Link/Document/FullText?findType=Y&amp;serNum=1991093588&amp;pubNum=0000780&amp;originatingDoc=I829fca20975011ebbbbbabec583fa227&amp;refType=RP&amp;fi=co_pp_sp_780_165&amp;originationContext=document&amp;transitionType=DocumentItem&amp;contextData=(sc.Search)" TargetMode="External"/><Relationship Id="rId71" Type="http://schemas.openxmlformats.org/officeDocument/2006/relationships/hyperlink" Target="https://1.next.westlaw.com/Link/Document/FullText?findType=Y&amp;serNum=1948119613&amp;pubNum=0000780&amp;originatingDoc=I59f953c0b74511eabb91c2e2bc8b49a5&amp;refType=RP&amp;fi=co_pp_sp_780_785&amp;originationContext=document&amp;transitionType=DocumentItem&amp;contextData=(sc.Search)" TargetMode="External"/><Relationship Id="rId92" Type="http://schemas.openxmlformats.org/officeDocument/2006/relationships/hyperlink" Target="https://1.next.westlaw.com/Link/Document/FullText?findType=Y&amp;serNum=2048519603&amp;pubNum=0000708&amp;originatingDoc=I59f953c0b74511eabb91c2e2bc8b49a5&amp;refType=RP&amp;fi=co_pp_sp_708_2121&amp;originationContext=document&amp;transitionType=DocumentItem&amp;contextData=(sc.Search)" TargetMode="External"/><Relationship Id="rId2" Type="http://schemas.openxmlformats.org/officeDocument/2006/relationships/settings" Target="settings.xml"/><Relationship Id="rId29" Type="http://schemas.openxmlformats.org/officeDocument/2006/relationships/hyperlink" Target="https://1.next.westlaw.com/Link/Document/FullText?findType=L&amp;pubNum=1000546&amp;cite=7USCAS5712&amp;originatingDoc=Ic909729036a711eba000a35ba47312ff&amp;refType=RB&amp;originationContext=document&amp;transitionType=DocumentItem&amp;contextData=(sc.Search)" TargetMode="External"/><Relationship Id="rId24" Type="http://schemas.openxmlformats.org/officeDocument/2006/relationships/hyperlink" Target="https://1.next.westlaw.com/Link/Document/FullText?findType=L&amp;pubNum=1000583&amp;cite=USCOARTI&amp;originatingDoc=Ic909729036a711eba000a35ba47312ff&amp;refType=LQ&amp;originationContext=document&amp;transitionType=DocumentItem&amp;contextData=(sc.Search)" TargetMode="External"/><Relationship Id="rId40"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45" Type="http://schemas.openxmlformats.org/officeDocument/2006/relationships/hyperlink" Target="https://1.next.westlaw.com/Link/Document/FullText?findType=Y&amp;serNum=1946112654&amp;pubNum=0000780&amp;originatingDoc=I59f953c0b74511eabb91c2e2bc8b49a5&amp;refType=RP&amp;fi=co_pp_sp_780_105&amp;originationContext=document&amp;transitionType=DocumentItem&amp;contextData=(sc.Search)" TargetMode="External"/><Relationship Id="rId66" Type="http://schemas.openxmlformats.org/officeDocument/2006/relationships/hyperlink" Target="https://1.next.westlaw.com/Link/Document/FullText?findType=Y&amp;serNum=2001175402&amp;pubNum=0000780&amp;originatingDoc=I59f953c0b74511eabb91c2e2bc8b49a5&amp;refType=RP&amp;fi=co_pp_sp_780_472&amp;originationContext=document&amp;transitionType=DocumentItem&amp;contextData=(sc.Search)" TargetMode="External"/><Relationship Id="rId87" Type="http://schemas.openxmlformats.org/officeDocument/2006/relationships/hyperlink" Target="https://1.next.westlaw.com/Link/Document/FullText?findType=Y&amp;serNum=1946112654&amp;pubNum=0000780&amp;originatingDoc=I59f953c0b74511eabb91c2e2bc8b49a5&amp;refType=RP&amp;fi=co_pp_sp_780_104&amp;originationContext=document&amp;transitionType=DocumentItem&amp;contextData=(sc.Search)" TargetMode="External"/><Relationship Id="rId110"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15" Type="http://schemas.openxmlformats.org/officeDocument/2006/relationships/hyperlink" Target="https://1.next.westlaw.com/Link/Document/FullText?findType=Y&amp;serNum=2048519603&amp;pubNum=0000708&amp;originatingDoc=I59f953c0b74511eabb91c2e2bc8b49a5&amp;refType=RP&amp;fi=co_pp_sp_708_2129&amp;originationContext=document&amp;transitionType=DocumentItem&amp;contextData=(sc.Search)" TargetMode="External"/><Relationship Id="rId61" Type="http://schemas.openxmlformats.org/officeDocument/2006/relationships/hyperlink" Target="https://1.next.westlaw.com/Link/Document/FullText?findType=Y&amp;serNum=1998026907&amp;pubNum=0000506&amp;originatingDoc=I59f953c0b74511eabb91c2e2bc8b49a5&amp;refType=RP&amp;fi=co_pp_sp_506_239&amp;originationContext=document&amp;transitionType=DocumentItem&amp;contextData=(sc.Search)" TargetMode="External"/><Relationship Id="rId82"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9" Type="http://schemas.openxmlformats.org/officeDocument/2006/relationships/hyperlink" Target="https://1.next.westlaw.com/Link/Document/FullText?findType=Y&amp;serNum=1983129415&amp;pubNum=0000780&amp;originatingDoc=I829fca20975011ebbbbbabec583fa227&amp;refType=RP&amp;fi=co_pp_sp_780_952&amp;originationContext=document&amp;transitionType=DocumentItem&amp;contextData=(sc.Search)" TargetMode="External"/><Relationship Id="rId14" Type="http://schemas.openxmlformats.org/officeDocument/2006/relationships/hyperlink" Target="https://1.next.westlaw.com/Link/Document/FullText?findType=Y&amp;serNum=1991093588&amp;pubNum=0000780&amp;originatingDoc=I829fca20975011ebbbbbabec583fa227&amp;refType=RP&amp;fi=co_pp_sp_780_165&amp;originationContext=document&amp;transitionType=DocumentItem&amp;contextData=(sc.Search)" TargetMode="External"/><Relationship Id="rId30" Type="http://schemas.openxmlformats.org/officeDocument/2006/relationships/hyperlink" Target="https://1.next.westlaw.com/Link/Document/FullText?findType=L&amp;pubNum=1000546&amp;cite=40USCAS3147&amp;originatingDoc=Ic909729036a711eba000a35ba47312ff&amp;refType=LQ&amp;originationContext=document&amp;transitionType=DocumentItem&amp;contextData=(sc.Search)" TargetMode="External"/><Relationship Id="rId35" Type="http://schemas.openxmlformats.org/officeDocument/2006/relationships/hyperlink" Target="https://1.next.westlaw.com/Link/Document/FullText?findType=Y&amp;serNum=1996125806&amp;pubNum=0000780&amp;originatingDoc=I59f953c0b74511eabb91c2e2bc8b49a5&amp;refType=RP&amp;fi=co_pp_sp_780_758&amp;originationContext=document&amp;transitionType=DocumentItem&amp;contextData=(sc.Search)" TargetMode="External"/><Relationship Id="rId56" Type="http://schemas.openxmlformats.org/officeDocument/2006/relationships/hyperlink" Target="https://1.next.westlaw.com/Link/Document/FullText?findType=Y&amp;serNum=1800100074&amp;pubNum=0000780&amp;originatingDoc=I59f953c0b74511eabb91c2e2bc8b49a5&amp;refType=RP&amp;fi=co_pp_sp_780_383&amp;originationContext=document&amp;transitionType=DocumentItem&amp;contextData=(sc.Search)" TargetMode="External"/><Relationship Id="rId77"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00"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05" Type="http://schemas.openxmlformats.org/officeDocument/2006/relationships/hyperlink" Target="https://1.next.westlaw.com/Link/Document/FullText?findType=Y&amp;serNum=1935123814&amp;pubNum=0000780&amp;originatingDoc=I59f953c0b74511eabb91c2e2bc8b49a5&amp;refType=RP&amp;originationContext=document&amp;transitionType=DocumentItem&amp;contextData=(sc.Search)" TargetMode="External"/><Relationship Id="rId8" Type="http://schemas.openxmlformats.org/officeDocument/2006/relationships/hyperlink" Target="https://1.next.westlaw.com/Link/Document/FullText?findType=Y&amp;serNum=2019416129&amp;pubNum=0000506&amp;originatingDoc=I829fca20975011ebbbbbabec583fa227&amp;refType=RP&amp;fi=co_pp_sp_506_263&amp;originationContext=document&amp;transitionType=DocumentItem&amp;contextData=(sc.Search)" TargetMode="External"/><Relationship Id="rId51" Type="http://schemas.openxmlformats.org/officeDocument/2006/relationships/hyperlink" Target="https://1.next.westlaw.com/Link/Document/FullText?findType=Y&amp;serNum=1989010615&amp;pubNum=0000780&amp;originatingDoc=I59f953c0b74511eabb91c2e2bc8b49a5&amp;refType=RP&amp;originationContext=document&amp;transitionType=DocumentItem&amp;contextData=(sc.Search)" TargetMode="External"/><Relationship Id="rId72" Type="http://schemas.openxmlformats.org/officeDocument/2006/relationships/hyperlink" Target="https://1.next.westlaw.com/Link/Document/FullText?findType=Y&amp;serNum=2001175402&amp;pubNum=0000780&amp;originatingDoc=I59f953c0b74511eabb91c2e2bc8b49a5&amp;refType=RP&amp;fi=co_pp_sp_780_474&amp;originationContext=document&amp;transitionType=DocumentItem&amp;contextData=(sc.Search)" TargetMode="External"/><Relationship Id="rId93" Type="http://schemas.openxmlformats.org/officeDocument/2006/relationships/hyperlink" Target="https://1.next.westlaw.com/Link/Document/FullText?findType=Y&amp;serNum=1935124094&amp;pubNum=0000780&amp;originatingDoc=I59f953c0b74511eabb91c2e2bc8b49a5&amp;refType=RP&amp;originationContext=document&amp;transitionType=DocumentItem&amp;contextData=(sc.Search)" TargetMode="External"/><Relationship Id="rId98" Type="http://schemas.openxmlformats.org/officeDocument/2006/relationships/hyperlink" Target="https://1.next.westlaw.com/Link/Document/FullText?findType=Y&amp;serNum=1935123814&amp;pubNum=0000780&amp;originatingDoc=I59f953c0b74511eabb91c2e2bc8b49a5&amp;refType=RP&amp;fi=co_pp_sp_780_523&amp;originationContext=document&amp;transitionType=DocumentItem&amp;contextData=(sc.Search)" TargetMode="External"/><Relationship Id="rId121" Type="http://schemas.openxmlformats.org/officeDocument/2006/relationships/hyperlink" Target="https://1.next.westlaw.com/Link/Document/FullText?findType=Y&amp;serNum=2050364681&amp;pubNum=0000506&amp;originatingDoc=I59f953c0b74511eabb91c2e2bc8b49a5&amp;refType=RP&amp;fi=co_pp_sp_506_265&amp;originationContext=document&amp;transitionType=DocumentItem&amp;contextData=(sc.Search)" TargetMode="External"/><Relationship Id="rId3" Type="http://schemas.openxmlformats.org/officeDocument/2006/relationships/webSettings" Target="webSettings.xml"/><Relationship Id="rId25" Type="http://schemas.openxmlformats.org/officeDocument/2006/relationships/hyperlink" Target="https://1.next.westlaw.com/Link/Document/FullText?findType=Y&amp;serNum=2001175402&amp;pubNum=0000780&amp;originatingDoc=Ic909729036a711eba000a35ba47312ff&amp;refType=RP&amp;fi=co_pp_sp_780_472&amp;originationContext=document&amp;transitionType=DocumentItem&amp;contextData=(sc.Search)" TargetMode="External"/><Relationship Id="rId46"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67" Type="http://schemas.openxmlformats.org/officeDocument/2006/relationships/hyperlink" Target="https://1.next.westlaw.com/Link/Document/FullText?findType=Y&amp;serNum=1943120664&amp;pubNum=0000780&amp;originatingDoc=I59f953c0b74511eabb91c2e2bc8b49a5&amp;refType=RP&amp;fi=co_pp_sp_780_225&amp;originationContext=document&amp;transitionType=DocumentItem&amp;contextData=(sc.Search)" TargetMode="External"/><Relationship Id="rId116" Type="http://schemas.openxmlformats.org/officeDocument/2006/relationships/hyperlink" Target="https://1.next.westlaw.com/Link/Document/FullText?findType=Y&amp;serNum=2048519603&amp;pubNum=0000708&amp;originatingDoc=I59f953c0b74511eabb91c2e2bc8b49a5&amp;refType=RP&amp;originationContext=document&amp;transitionType=DocumentItem&amp;contextData=(sc.Search)" TargetMode="External"/><Relationship Id="rId20" Type="http://schemas.openxmlformats.org/officeDocument/2006/relationships/hyperlink" Target="https://1.next.westlaw.com/Link/Document/FullText?findType=Y&amp;serNum=1996125806&amp;pubNum=0000780&amp;originatingDoc=I829fca20975011ebbbbbabec583fa227&amp;refType=RP&amp;fi=co_pp_sp_780_759&amp;originationContext=document&amp;transitionType=DocumentItem&amp;contextData=(sc.Search)" TargetMode="External"/><Relationship Id="rId41" Type="http://schemas.openxmlformats.org/officeDocument/2006/relationships/hyperlink" Target="https://1.next.westlaw.com/Link/Document/FullText?findType=Y&amp;serNum=1996125806&amp;pubNum=0000780&amp;originatingDoc=I59f953c0b74511eabb91c2e2bc8b49a5&amp;refType=RP&amp;fi=co_pp_sp_780_758&amp;originationContext=document&amp;transitionType=DocumentItem&amp;contextData=(sc.Search)" TargetMode="External"/><Relationship Id="rId62" Type="http://schemas.openxmlformats.org/officeDocument/2006/relationships/hyperlink" Target="https://1.next.westlaw.com/Link/Document/FullText?findType=Y&amp;serNum=2026387485&amp;pubNum=0006538&amp;originatingDoc=I59f953c0b74511eabb91c2e2bc8b49a5&amp;refType=RP&amp;fi=co_pp_sp_6538_256&amp;originationContext=document&amp;transitionType=DocumentItem&amp;contextData=(sc.Search)" TargetMode="External"/><Relationship Id="rId83"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88" Type="http://schemas.openxmlformats.org/officeDocument/2006/relationships/hyperlink" Target="https://1.next.westlaw.com/Link/Document/FullText?findType=Y&amp;serNum=1981135648&amp;pubNum=0000350&amp;originatingDoc=I59f953c0b74511eabb91c2e2bc8b49a5&amp;refType=RP&amp;fi=co_pp_sp_350_1037&amp;originationContext=document&amp;transitionType=DocumentItem&amp;contextData=(sc.Search)" TargetMode="External"/><Relationship Id="rId111"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5" Type="http://schemas.openxmlformats.org/officeDocument/2006/relationships/hyperlink" Target="https://1.next.westlaw.com/Link/Document/FullText?findType=Y&amp;serNum=1928126227&amp;pubNum=0000780&amp;originatingDoc=I829fca20975011ebbbbbabec583fa227&amp;refType=RP&amp;fi=co_pp_sp_780_409&amp;originationContext=document&amp;transitionType=DocumentItem&amp;contextData=(sc.Search)" TargetMode="External"/><Relationship Id="rId36" Type="http://schemas.openxmlformats.org/officeDocument/2006/relationships/hyperlink" Target="https://1.next.westlaw.com/Link/Document/FullText?findType=Y&amp;serNum=1991093588&amp;pubNum=0000780&amp;originatingDoc=I59f953c0b74511eabb91c2e2bc8b49a5&amp;refType=RP&amp;fi=co_pp_sp_780_165&amp;originationContext=document&amp;transitionType=DocumentItem&amp;contextData=(sc.Search)" TargetMode="External"/><Relationship Id="rId57" Type="http://schemas.openxmlformats.org/officeDocument/2006/relationships/hyperlink" Target="https://1.next.westlaw.com/Link/Document/FullText?findType=Y&amp;serNum=1935124094&amp;pubNum=0000780&amp;originatingDoc=I59f953c0b74511eabb91c2e2bc8b49a5&amp;refType=RP&amp;fi=co_pp_sp_780_433&amp;originationContext=document&amp;transitionType=DocumentItem&amp;contextData=(sc.Search)" TargetMode="External"/><Relationship Id="rId106" Type="http://schemas.openxmlformats.org/officeDocument/2006/relationships/hyperlink" Target="https://1.next.westlaw.com/Link/Document/FullText?findType=Y&amp;serNum=2001175402&amp;pubNum=0000780&amp;originatingDoc=I59f953c0b74511eabb91c2e2bc8b49a5&amp;refType=RP&amp;fi=co_pp_sp_780_474&amp;originationContext=document&amp;transitionType=DocumentItem&amp;contextData=(sc.Search)" TargetMode="External"/><Relationship Id="rId10" Type="http://schemas.openxmlformats.org/officeDocument/2006/relationships/hyperlink" Target="https://1.next.westlaw.com/Link/Document/FullText?findType=Y&amp;serNum=1996125806&amp;pubNum=0000780&amp;originatingDoc=I829fca20975011ebbbbbabec583fa227&amp;refType=RP&amp;fi=co_pp_sp_780_758&amp;originationContext=document&amp;transitionType=DocumentItem&amp;contextData=(sc.Search)" TargetMode="External"/><Relationship Id="rId31" Type="http://schemas.openxmlformats.org/officeDocument/2006/relationships/hyperlink" Target="https://1.next.westlaw.com/Link/Document/FullText?findType=Y&amp;serNum=1935124094&amp;pubNum=0000708&amp;originatingDoc=Ic909729036a711eba000a35ba47312ff&amp;refType=RP&amp;originationContext=document&amp;transitionType=DocumentItem&amp;contextData=(sc.Search)" TargetMode="External"/><Relationship Id="rId52" Type="http://schemas.openxmlformats.org/officeDocument/2006/relationships/hyperlink" Target="https://1.next.westlaw.com/Link/Document/FullText?findType=Y&amp;serNum=0105747149&amp;pubNum=0001192&amp;originatingDoc=I59f953c0b74511eabb91c2e2bc8b49a5&amp;refType=LR&amp;fi=co_pp_sp_1192_1231&amp;originationContext=document&amp;transitionType=DocumentItem&amp;contextData=(sc.Search)" TargetMode="External"/><Relationship Id="rId73"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78" Type="http://schemas.openxmlformats.org/officeDocument/2006/relationships/hyperlink" Target="https://1.next.westlaw.com/Link/Document/FullText?findType=Y&amp;serNum=2048519603&amp;pubNum=0000708&amp;originatingDoc=I59f953c0b74511eabb91c2e2bc8b49a5&amp;refType=RP&amp;fi=co_pp_sp_708_2131&amp;originationContext=document&amp;transitionType=DocumentItem&amp;contextData=(sc.Search)" TargetMode="External"/><Relationship Id="rId94" Type="http://schemas.openxmlformats.org/officeDocument/2006/relationships/hyperlink" Target="https://1.next.westlaw.com/Link/Document/FullText?findType=Y&amp;serNum=1935123814&amp;pubNum=0000780&amp;originatingDoc=I59f953c0b74511eabb91c2e2bc8b49a5&amp;refType=RP&amp;originationContext=document&amp;transitionType=DocumentItem&amp;contextData=(sc.Search)" TargetMode="External"/><Relationship Id="rId99" Type="http://schemas.openxmlformats.org/officeDocument/2006/relationships/hyperlink" Target="https://1.next.westlaw.com/Document/I59f953c0b74511eabb91c2e2bc8b49a5/View/FullText.html?navigationPath=Search%2Fv1%2Fresults%2Fnavigation%2Fi0ad740120000017ac9a19e1f759b5353%3Fppcid%3D6b6ee9d436414540af2ee4967901730b%26Nav%3DCASE%26fragmentIdentifier%3DI59f953c0b74511eabb91c2e2bc8b49a5%26parentRank%3D0%26startIndex%3D1%26contextData%3D%2528sc.Search%2529%26transitionType%3DSearchItem&amp;listSource=Search&amp;listPageSource=b692c4bce7a272cff17a5d31ab69db1f&amp;list=CASE&amp;rank=1&amp;sessionScopeId=d88c03dc0cd7aeeab7b140972dc91204a736facd19285e7b0c70ea3a85bccd8b&amp;ppcid=6b6ee9d436414540af2ee4967901730b&amp;originationContext=Search%20Result&amp;transitionType=SearchItem&amp;contextData=%28sc.Search%29" TargetMode="External"/><Relationship Id="rId101" Type="http://schemas.openxmlformats.org/officeDocument/2006/relationships/hyperlink" Target="https://1.next.westlaw.com/Link/Document/FullText?findType=Y&amp;serNum=1935124094&amp;pubNum=0000780&amp;originatingDoc=I59f953c0b74511eabb91c2e2bc8b49a5&amp;refType=RP&amp;fi=co_pp_sp_780_417&amp;originationContext=document&amp;transitionType=DocumentItem&amp;contextData=(sc.Search)" TargetMode="External"/><Relationship Id="rId122" Type="http://schemas.openxmlformats.org/officeDocument/2006/relationships/hyperlink" Target="https://1.next.westlaw.com/Link/Document/FullText?findType=Y&amp;serNum=2051298578&amp;pubNum=0000999&amp;originatingDoc=I59f953c0b74511eabb91c2e2bc8b49a5&amp;refType=RP&amp;originationContext=document&amp;transitionType=DocumentItem&amp;contextData=(sc.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6</Pages>
  <Words>9915</Words>
  <Characters>56518</Characters>
  <Application>Microsoft Office Word</Application>
  <DocSecurity>0</DocSecurity>
  <Lines>470</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cp:lastPrinted>2021-07-21T16:47:00Z</cp:lastPrinted>
  <dcterms:created xsi:type="dcterms:W3CDTF">2021-07-21T15:18:00Z</dcterms:created>
  <dcterms:modified xsi:type="dcterms:W3CDTF">2021-07-21T17:17:00Z</dcterms:modified>
</cp:coreProperties>
</file>