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OCTOBER TERM, 2001</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Syllabus</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BARNES, IN HER OFFICIAL CAPACITY AS MEMBER OF THE BOARD OF POLICE COMMISSIONERS OF KANSAS CITY MISSOURI, ET AL. </w:t>
      </w:r>
      <w:r w:rsidRPr="007B2940">
        <w:rPr>
          <w:rFonts w:ascii="Arial" w:eastAsia="Times New Roman" w:hAnsi="Arial" w:cs="Arial"/>
          <w:i/>
          <w:iCs/>
          <w:color w:val="000000"/>
          <w:sz w:val="24"/>
          <w:szCs w:val="24"/>
        </w:rPr>
        <w:t>v. </w:t>
      </w:r>
      <w:r w:rsidRPr="007B2940">
        <w:rPr>
          <w:rFonts w:ascii="Arial" w:eastAsia="Times New Roman" w:hAnsi="Arial" w:cs="Arial"/>
          <w:color w:val="000000"/>
          <w:sz w:val="24"/>
          <w:szCs w:val="24"/>
        </w:rPr>
        <w:t>GORMAN</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CERTIORARI TO THE UNITED STATES COURT OF APPEALS FOR THE EIGHTH CIRCUIT</w:t>
      </w:r>
    </w:p>
    <w:p w:rsidR="007B2940" w:rsidRPr="007B2940" w:rsidRDefault="007B2940" w:rsidP="007B2940">
      <w:pPr>
        <w:shd w:val="clear" w:color="auto" w:fill="FFFFFF"/>
        <w:spacing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No. 01-682. Argued April 23, 2002-Decided June 17,2002</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Respondent, a paraplegic, suffered serious injuries that left him unable to work full time when, after arrest, he was transported to a Kansas City police station in a van that was not equipped to accommodate the disabled. He sued petitioner police officials and officers for discriminating against him on the basis of his disability, in violation of § 202 of the Americans with Disabilities Act of 1990 (ADA) and § 504 of the Rehabilitation Act of 1973, by failing to maintain appropriate policies for the arrest and transportation of persons with spinal cord injuries. A jury awarded him compensatory and punitive damages, but the District Court vacated as to punitive damages, holding that they are unavailable in private suits brought under § 202 of the ADA and § 504 of the Rehabilitation Act. In reversing, the Eighth Circuit found punitive damages available under the "general rule" of </w:t>
      </w:r>
      <w:r w:rsidRPr="007B2940">
        <w:rPr>
          <w:rFonts w:ascii="Arial" w:eastAsia="Times New Roman" w:hAnsi="Arial" w:cs="Arial"/>
          <w:i/>
          <w:iCs/>
          <w:color w:val="000000"/>
          <w:sz w:val="24"/>
          <w:szCs w:val="24"/>
        </w:rPr>
        <w:t>Franklin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Gwinnett County Public Schools, </w:t>
      </w:r>
      <w:hyperlink r:id="rId4" w:history="1">
        <w:r w:rsidRPr="007B2940">
          <w:rPr>
            <w:rFonts w:ascii="Arial" w:eastAsia="Times New Roman" w:hAnsi="Arial" w:cs="Arial"/>
            <w:color w:val="06357A"/>
            <w:sz w:val="24"/>
            <w:szCs w:val="24"/>
          </w:rPr>
          <w:t>503 U. S. 60</w:t>
        </w:r>
      </w:hyperlink>
      <w:r w:rsidRPr="007B2940">
        <w:rPr>
          <w:rFonts w:ascii="Arial" w:eastAsia="Times New Roman" w:hAnsi="Arial" w:cs="Arial"/>
          <w:color w:val="000000"/>
          <w:sz w:val="24"/>
          <w:szCs w:val="24"/>
        </w:rPr>
        <w:t>, 70-71, that "absent clear direction to the contrary by Congress, the federal courts have the power to award any appropriate relief" for violation of a federal right.</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i/>
          <w:iCs/>
          <w:color w:val="000000"/>
          <w:sz w:val="24"/>
          <w:szCs w:val="24"/>
        </w:rPr>
        <w:t>Held: </w:t>
      </w:r>
      <w:r w:rsidRPr="007B2940">
        <w:rPr>
          <w:rFonts w:ascii="Arial" w:eastAsia="Times New Roman" w:hAnsi="Arial" w:cs="Arial"/>
          <w:color w:val="000000"/>
          <w:sz w:val="24"/>
          <w:szCs w:val="24"/>
        </w:rPr>
        <w:t>Punitive damages may not be awarded in private suits brought under § 202 of the ADA and § 504 of the Rehabilitation Act. These sections are enforceable through private causes of action, whose remedies are coextensive with those available in a private action under Title VI of the Civil Rights Act of 1964. See § 203 of the ADA and § 505(a)(2) of the Rehabilitation Act. Title VI invokes Congress's Spending Clause power to place conditions on the grant of federal funds. This Court has regularly applied a contract-law analogy in defining the scope of conduct for which funding recipients may be held liable in money damages, and in finding a damages remedy available, in private suits under Spending Clause legislation. The same analogy applies in determining the scope of damages remedies. A remedy is appropriate relief only if the recipient is on notice that, by accepting federal funding, it exposes itself to such liability. A funding recipient is generally on notice that it is subject not only to those remedies explicitly provided in the relevant legislation but also to those traditionally available in breach of contract suits. Title VI mentions no remedies; and punitive damages are</w:t>
      </w:r>
    </w:p>
    <w:p w:rsidR="007B2940" w:rsidRPr="007B2940" w:rsidRDefault="006F3090" w:rsidP="007B294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6F3090">
        <w:rPr>
          <w:rFonts w:ascii="Times New Roman" w:eastAsia="Times New Roman" w:hAnsi="Times New Roman" w:cs="Times New Roman"/>
          <w:noProof/>
          <w:sz w:val="24"/>
          <w:szCs w:val="24"/>
        </w:rPr>
        <w:pict>
          <v:rect id="_x0000_i1025" style="width:0;height:0" o:hrstd="t" o:hrnoshade="t" o:hr="t" fillcolor="black" stroked="f"/>
        </w:pic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bookmarkStart w:id="0" w:name="182"/>
      <w:r w:rsidRPr="007B2940">
        <w:rPr>
          <w:rFonts w:ascii="Arial" w:eastAsia="Times New Roman" w:hAnsi="Arial" w:cs="Arial"/>
          <w:color w:val="06357A"/>
          <w:sz w:val="24"/>
          <w:szCs w:val="24"/>
        </w:rPr>
        <w:t>182</w:t>
      </w:r>
      <w:bookmarkEnd w:id="0"/>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Syllabus</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lastRenderedPageBreak/>
        <w:t>generally not available for breach of contract. Nor could it be said that Title VI funding recipients have, merely by accepting funds, implicitly consented to a remedy which is not normally available for contract actions, and the indeterminate magnitude of which could produce liability exceeding the level of federal funding. Because punitive damages may not be awarded in private suits under Title VI, it follows that they may not be awarded in suits under § 202 of the ADA and § 504 of the Rehabilitation Act. Pp. 184-190.</w:t>
      </w:r>
    </w:p>
    <w:p w:rsidR="007B2940" w:rsidRPr="007B2940" w:rsidRDefault="005078D4" w:rsidP="007B2940">
      <w:pPr>
        <w:shd w:val="clear" w:color="auto" w:fill="FFFFFF"/>
        <w:spacing w:before="100" w:beforeAutospacing="1" w:after="100" w:afterAutospacing="1" w:line="240" w:lineRule="auto"/>
        <w:rPr>
          <w:rFonts w:ascii="Arial" w:eastAsia="Times New Roman" w:hAnsi="Arial" w:cs="Arial"/>
          <w:color w:val="000000"/>
          <w:sz w:val="24"/>
          <w:szCs w:val="24"/>
        </w:rPr>
      </w:pPr>
      <w:hyperlink r:id="rId5" w:history="1">
        <w:r w:rsidR="007B2940" w:rsidRPr="007B2940">
          <w:rPr>
            <w:rFonts w:ascii="Arial" w:eastAsia="Times New Roman" w:hAnsi="Arial" w:cs="Arial"/>
            <w:color w:val="06357A"/>
            <w:sz w:val="24"/>
            <w:szCs w:val="24"/>
          </w:rPr>
          <w:t>257 F.3d 738</w:t>
        </w:r>
      </w:hyperlink>
      <w:r w:rsidR="007B2940" w:rsidRPr="007B2940">
        <w:rPr>
          <w:rFonts w:ascii="Arial" w:eastAsia="Times New Roman" w:hAnsi="Arial" w:cs="Arial"/>
          <w:color w:val="000000"/>
          <w:sz w:val="24"/>
          <w:szCs w:val="24"/>
        </w:rPr>
        <w:t>, reversed.</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SCALIA, J., delivered the opinion of the Court, in which REHNQUIST, C. J., and O'CONNOR, KENNEDY, SOUTER, and THOMAS, JJ., joined. SouTER, J., filed a concurring opinion, in which O'CONNOR, J., joined, </w:t>
      </w:r>
      <w:r w:rsidRPr="007B2940">
        <w:rPr>
          <w:rFonts w:ascii="Arial" w:eastAsia="Times New Roman" w:hAnsi="Arial" w:cs="Arial"/>
          <w:i/>
          <w:iCs/>
          <w:color w:val="000000"/>
          <w:sz w:val="24"/>
          <w:szCs w:val="24"/>
        </w:rPr>
        <w:t>post, </w:t>
      </w:r>
      <w:r w:rsidRPr="007B2940">
        <w:rPr>
          <w:rFonts w:ascii="Arial" w:eastAsia="Times New Roman" w:hAnsi="Arial" w:cs="Arial"/>
          <w:color w:val="000000"/>
          <w:sz w:val="24"/>
          <w:szCs w:val="24"/>
        </w:rPr>
        <w:t>p. 190. STEVENS, J., filed an opinion concurring in the judgment, in which GINSBURG and BREYER, JJ., joined, </w:t>
      </w:r>
      <w:r w:rsidRPr="007B2940">
        <w:rPr>
          <w:rFonts w:ascii="Arial" w:eastAsia="Times New Roman" w:hAnsi="Arial" w:cs="Arial"/>
          <w:i/>
          <w:iCs/>
          <w:color w:val="000000"/>
          <w:sz w:val="24"/>
          <w:szCs w:val="24"/>
        </w:rPr>
        <w:t>post, </w:t>
      </w:r>
      <w:r w:rsidRPr="007B2940">
        <w:rPr>
          <w:rFonts w:ascii="Arial" w:eastAsia="Times New Roman" w:hAnsi="Arial" w:cs="Arial"/>
          <w:color w:val="000000"/>
          <w:sz w:val="24"/>
          <w:szCs w:val="24"/>
        </w:rPr>
        <w:t>p. 191.</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i/>
          <w:iCs/>
          <w:color w:val="000000"/>
          <w:sz w:val="24"/>
          <w:szCs w:val="24"/>
        </w:rPr>
        <w:t>Lawrence </w:t>
      </w:r>
      <w:r w:rsidRPr="007B2940">
        <w:rPr>
          <w:rFonts w:ascii="Arial" w:eastAsia="Times New Roman" w:hAnsi="Arial" w:cs="Arial"/>
          <w:color w:val="000000"/>
          <w:sz w:val="24"/>
          <w:szCs w:val="24"/>
        </w:rPr>
        <w:t>S. </w:t>
      </w:r>
      <w:r w:rsidRPr="007B2940">
        <w:rPr>
          <w:rFonts w:ascii="Arial" w:eastAsia="Times New Roman" w:hAnsi="Arial" w:cs="Arial"/>
          <w:i/>
          <w:iCs/>
          <w:color w:val="000000"/>
          <w:sz w:val="24"/>
          <w:szCs w:val="24"/>
        </w:rPr>
        <w:t>Robbins </w:t>
      </w:r>
      <w:r w:rsidRPr="007B2940">
        <w:rPr>
          <w:rFonts w:ascii="Arial" w:eastAsia="Times New Roman" w:hAnsi="Arial" w:cs="Arial"/>
          <w:color w:val="000000"/>
          <w:sz w:val="24"/>
          <w:szCs w:val="24"/>
        </w:rPr>
        <w:t>argued the cause for petitioners.</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 xml:space="preserve">With him on the briefs were Roy T. Englert, Jr., Alan E. </w:t>
      </w:r>
      <w:proofErr w:type="spellStart"/>
      <w:r w:rsidRPr="007B2940">
        <w:rPr>
          <w:rFonts w:ascii="Arial" w:eastAsia="Times New Roman" w:hAnsi="Arial" w:cs="Arial"/>
          <w:color w:val="000000"/>
          <w:sz w:val="24"/>
          <w:szCs w:val="24"/>
        </w:rPr>
        <w:t>Untereiner</w:t>
      </w:r>
      <w:proofErr w:type="spellEnd"/>
      <w:r w:rsidRPr="007B2940">
        <w:rPr>
          <w:rFonts w:ascii="Arial" w:eastAsia="Times New Roman" w:hAnsi="Arial" w:cs="Arial"/>
          <w:color w:val="000000"/>
          <w:sz w:val="24"/>
          <w:szCs w:val="24"/>
        </w:rPr>
        <w:t>, Arnon D. Siegel, and Dale H. Close.</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 xml:space="preserve">Gregory G. </w:t>
      </w:r>
      <w:proofErr w:type="spellStart"/>
      <w:r w:rsidRPr="007B2940">
        <w:rPr>
          <w:rFonts w:ascii="Arial" w:eastAsia="Times New Roman" w:hAnsi="Arial" w:cs="Arial"/>
          <w:color w:val="000000"/>
          <w:sz w:val="24"/>
          <w:szCs w:val="24"/>
        </w:rPr>
        <w:t>Garre</w:t>
      </w:r>
      <w:proofErr w:type="spellEnd"/>
      <w:r w:rsidRPr="007B2940">
        <w:rPr>
          <w:rFonts w:ascii="Arial" w:eastAsia="Times New Roman" w:hAnsi="Arial" w:cs="Arial"/>
          <w:color w:val="000000"/>
          <w:sz w:val="24"/>
          <w:szCs w:val="24"/>
        </w:rPr>
        <w:t xml:space="preserve"> argued the cause for the United States as amicus curiae urging reversal. With him on the brief were Solicitor General Olson, Assistant Attorneys General Boyd and McCallum, Deputy Solicitor General Clement, Jessica </w:t>
      </w:r>
      <w:proofErr w:type="spellStart"/>
      <w:r w:rsidRPr="007B2940">
        <w:rPr>
          <w:rFonts w:ascii="Arial" w:eastAsia="Times New Roman" w:hAnsi="Arial" w:cs="Arial"/>
          <w:color w:val="000000"/>
          <w:sz w:val="24"/>
          <w:szCs w:val="24"/>
        </w:rPr>
        <w:t>Dunsay</w:t>
      </w:r>
      <w:proofErr w:type="spellEnd"/>
      <w:r w:rsidRPr="007B2940">
        <w:rPr>
          <w:rFonts w:ascii="Arial" w:eastAsia="Times New Roman" w:hAnsi="Arial" w:cs="Arial"/>
          <w:color w:val="000000"/>
          <w:sz w:val="24"/>
          <w:szCs w:val="24"/>
        </w:rPr>
        <w:t xml:space="preserve"> Silver, and Gregory B. Friel.</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 xml:space="preserve">Scott L. Nelson argued the cause for respondent. With him on the brief were Brian </w:t>
      </w:r>
      <w:proofErr w:type="spellStart"/>
      <w:r w:rsidRPr="007B2940">
        <w:rPr>
          <w:rFonts w:ascii="Arial" w:eastAsia="Times New Roman" w:hAnsi="Arial" w:cs="Arial"/>
          <w:color w:val="000000"/>
          <w:sz w:val="24"/>
          <w:szCs w:val="24"/>
        </w:rPr>
        <w:t>Wolfman</w:t>
      </w:r>
      <w:proofErr w:type="spellEnd"/>
      <w:r w:rsidRPr="007B2940">
        <w:rPr>
          <w:rFonts w:ascii="Arial" w:eastAsia="Times New Roman" w:hAnsi="Arial" w:cs="Arial"/>
          <w:color w:val="000000"/>
          <w:sz w:val="24"/>
          <w:szCs w:val="24"/>
        </w:rPr>
        <w:t xml:space="preserve">, John M. Simpson, and Connie Knight </w:t>
      </w:r>
      <w:proofErr w:type="spellStart"/>
      <w:r w:rsidRPr="007B2940">
        <w:rPr>
          <w:rFonts w:ascii="Arial" w:eastAsia="Times New Roman" w:hAnsi="Arial" w:cs="Arial"/>
          <w:color w:val="000000"/>
          <w:sz w:val="24"/>
          <w:szCs w:val="24"/>
        </w:rPr>
        <w:t>Sieracki</w:t>
      </w:r>
      <w:proofErr w:type="spellEnd"/>
      <w:r w:rsidRPr="007B2940">
        <w:rPr>
          <w:rFonts w:ascii="Arial" w:eastAsia="Times New Roman" w:hAnsi="Arial" w:cs="Arial"/>
          <w:color w:val="000000"/>
          <w:sz w:val="24"/>
          <w:szCs w:val="24"/>
        </w:rPr>
        <w:t>. </w:t>
      </w:r>
      <w:r w:rsidRPr="007B2940">
        <w:rPr>
          <w:rFonts w:ascii="Arial" w:eastAsia="Times New Roman" w:hAnsi="Arial" w:cs="Arial"/>
          <w:i/>
          <w:iCs/>
          <w:color w:val="000000"/>
          <w:sz w:val="24"/>
          <w:szCs w:val="24"/>
        </w:rPr>
        <w:t>*</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*Briefs of </w:t>
      </w:r>
      <w:r w:rsidRPr="007B2940">
        <w:rPr>
          <w:rFonts w:ascii="Arial" w:eastAsia="Times New Roman" w:hAnsi="Arial" w:cs="Arial"/>
          <w:i/>
          <w:iCs/>
          <w:color w:val="000000"/>
          <w:sz w:val="24"/>
          <w:szCs w:val="24"/>
        </w:rPr>
        <w:t>amici curiae </w:t>
      </w:r>
      <w:r w:rsidRPr="007B2940">
        <w:rPr>
          <w:rFonts w:ascii="Arial" w:eastAsia="Times New Roman" w:hAnsi="Arial" w:cs="Arial"/>
          <w:color w:val="000000"/>
          <w:sz w:val="24"/>
          <w:szCs w:val="24"/>
        </w:rPr>
        <w:t>urging reversal were filed for the State of Hawaii et al. by </w:t>
      </w:r>
      <w:r w:rsidRPr="007B2940">
        <w:rPr>
          <w:rFonts w:ascii="Arial" w:eastAsia="Times New Roman" w:hAnsi="Arial" w:cs="Arial"/>
          <w:i/>
          <w:iCs/>
          <w:color w:val="000000"/>
          <w:sz w:val="24"/>
          <w:szCs w:val="24"/>
        </w:rPr>
        <w:t xml:space="preserve">Earl I. </w:t>
      </w:r>
      <w:proofErr w:type="spellStart"/>
      <w:r w:rsidRPr="007B2940">
        <w:rPr>
          <w:rFonts w:ascii="Arial" w:eastAsia="Times New Roman" w:hAnsi="Arial" w:cs="Arial"/>
          <w:i/>
          <w:iCs/>
          <w:color w:val="000000"/>
          <w:sz w:val="24"/>
          <w:szCs w:val="24"/>
        </w:rPr>
        <w:t>Anzai</w:t>
      </w:r>
      <w:proofErr w:type="spellEnd"/>
      <w:r w:rsidRPr="007B2940">
        <w:rPr>
          <w:rFonts w:ascii="Arial" w:eastAsia="Times New Roman" w:hAnsi="Arial" w:cs="Arial"/>
          <w:i/>
          <w:iCs/>
          <w:color w:val="000000"/>
          <w:sz w:val="24"/>
          <w:szCs w:val="24"/>
        </w:rPr>
        <w:t>, </w:t>
      </w:r>
      <w:r w:rsidRPr="007B2940">
        <w:rPr>
          <w:rFonts w:ascii="Arial" w:eastAsia="Times New Roman" w:hAnsi="Arial" w:cs="Arial"/>
          <w:color w:val="000000"/>
          <w:sz w:val="24"/>
          <w:szCs w:val="24"/>
        </w:rPr>
        <w:t>Attorney General of Hawaii, and </w:t>
      </w:r>
      <w:r w:rsidRPr="007B2940">
        <w:rPr>
          <w:rFonts w:ascii="Arial" w:eastAsia="Times New Roman" w:hAnsi="Arial" w:cs="Arial"/>
          <w:i/>
          <w:iCs/>
          <w:color w:val="000000"/>
          <w:sz w:val="24"/>
          <w:szCs w:val="24"/>
        </w:rPr>
        <w:t>Dorothy D. Sellers </w:t>
      </w:r>
      <w:r w:rsidRPr="007B2940">
        <w:rPr>
          <w:rFonts w:ascii="Arial" w:eastAsia="Times New Roman" w:hAnsi="Arial" w:cs="Arial"/>
          <w:color w:val="000000"/>
          <w:sz w:val="24"/>
          <w:szCs w:val="24"/>
        </w:rPr>
        <w:t>and </w:t>
      </w:r>
      <w:r w:rsidRPr="007B2940">
        <w:rPr>
          <w:rFonts w:ascii="Arial" w:eastAsia="Times New Roman" w:hAnsi="Arial" w:cs="Arial"/>
          <w:i/>
          <w:iCs/>
          <w:color w:val="000000"/>
          <w:sz w:val="24"/>
          <w:szCs w:val="24"/>
        </w:rPr>
        <w:t>Adina L. K. Cunningham, </w:t>
      </w:r>
      <w:r w:rsidRPr="007B2940">
        <w:rPr>
          <w:rFonts w:ascii="Arial" w:eastAsia="Times New Roman" w:hAnsi="Arial" w:cs="Arial"/>
          <w:color w:val="000000"/>
          <w:sz w:val="24"/>
          <w:szCs w:val="24"/>
        </w:rPr>
        <w:t>Deputy Attorneys General, joined by </w:t>
      </w:r>
      <w:r w:rsidRPr="007B2940">
        <w:rPr>
          <w:rFonts w:ascii="Arial" w:eastAsia="Times New Roman" w:hAnsi="Arial" w:cs="Arial"/>
          <w:i/>
          <w:iCs/>
          <w:color w:val="000000"/>
          <w:sz w:val="24"/>
          <w:szCs w:val="24"/>
        </w:rPr>
        <w:t xml:space="preserve">Robert R. </w:t>
      </w:r>
      <w:proofErr w:type="spellStart"/>
      <w:r w:rsidRPr="007B2940">
        <w:rPr>
          <w:rFonts w:ascii="Arial" w:eastAsia="Times New Roman" w:hAnsi="Arial" w:cs="Arial"/>
          <w:i/>
          <w:iCs/>
          <w:color w:val="000000"/>
          <w:sz w:val="24"/>
          <w:szCs w:val="24"/>
        </w:rPr>
        <w:t>Rigsby</w:t>
      </w:r>
      <w:proofErr w:type="spellEnd"/>
      <w:r w:rsidRPr="007B2940">
        <w:rPr>
          <w:rFonts w:ascii="Arial" w:eastAsia="Times New Roman" w:hAnsi="Arial" w:cs="Arial"/>
          <w:i/>
          <w:iCs/>
          <w:color w:val="000000"/>
          <w:sz w:val="24"/>
          <w:szCs w:val="24"/>
        </w:rPr>
        <w:t>, </w:t>
      </w:r>
      <w:r w:rsidRPr="007B2940">
        <w:rPr>
          <w:rFonts w:ascii="Arial" w:eastAsia="Times New Roman" w:hAnsi="Arial" w:cs="Arial"/>
          <w:color w:val="000000"/>
          <w:sz w:val="24"/>
          <w:szCs w:val="24"/>
        </w:rPr>
        <w:t>Corporation Counsel of the District of Columbia, and the Attorneys General for their respective States as follows: </w:t>
      </w:r>
      <w:r w:rsidRPr="007B2940">
        <w:rPr>
          <w:rFonts w:ascii="Arial" w:eastAsia="Times New Roman" w:hAnsi="Arial" w:cs="Arial"/>
          <w:i/>
          <w:iCs/>
          <w:color w:val="000000"/>
          <w:sz w:val="24"/>
          <w:szCs w:val="24"/>
        </w:rPr>
        <w:t>Robert A. Butterworth </w:t>
      </w:r>
      <w:r w:rsidRPr="007B2940">
        <w:rPr>
          <w:rFonts w:ascii="Arial" w:eastAsia="Times New Roman" w:hAnsi="Arial" w:cs="Arial"/>
          <w:color w:val="000000"/>
          <w:sz w:val="24"/>
          <w:szCs w:val="24"/>
        </w:rPr>
        <w:t>of Florida, </w:t>
      </w:r>
      <w:r w:rsidRPr="007B2940">
        <w:rPr>
          <w:rFonts w:ascii="Arial" w:eastAsia="Times New Roman" w:hAnsi="Arial" w:cs="Arial"/>
          <w:i/>
          <w:iCs/>
          <w:color w:val="000000"/>
          <w:sz w:val="24"/>
          <w:szCs w:val="24"/>
        </w:rPr>
        <w:t>Steve Carter </w:t>
      </w:r>
      <w:r w:rsidRPr="007B2940">
        <w:rPr>
          <w:rFonts w:ascii="Arial" w:eastAsia="Times New Roman" w:hAnsi="Arial" w:cs="Arial"/>
          <w:color w:val="000000"/>
          <w:sz w:val="24"/>
          <w:szCs w:val="24"/>
        </w:rPr>
        <w:t>of Indiana, G. </w:t>
      </w:r>
      <w:r w:rsidRPr="007B2940">
        <w:rPr>
          <w:rFonts w:ascii="Arial" w:eastAsia="Times New Roman" w:hAnsi="Arial" w:cs="Arial"/>
          <w:i/>
          <w:iCs/>
          <w:color w:val="000000"/>
          <w:sz w:val="24"/>
          <w:szCs w:val="24"/>
        </w:rPr>
        <w:t>Steven Rowe </w:t>
      </w:r>
      <w:r w:rsidRPr="007B2940">
        <w:rPr>
          <w:rFonts w:ascii="Arial" w:eastAsia="Times New Roman" w:hAnsi="Arial" w:cs="Arial"/>
          <w:color w:val="000000"/>
          <w:sz w:val="24"/>
          <w:szCs w:val="24"/>
        </w:rPr>
        <w:t>of Maine, </w:t>
      </w:r>
      <w:r w:rsidRPr="007B2940">
        <w:rPr>
          <w:rFonts w:ascii="Arial" w:eastAsia="Times New Roman" w:hAnsi="Arial" w:cs="Arial"/>
          <w:i/>
          <w:iCs/>
          <w:color w:val="000000"/>
          <w:sz w:val="24"/>
          <w:szCs w:val="24"/>
        </w:rPr>
        <w:t>J. Joseph Curran, Jr., </w:t>
      </w:r>
      <w:r w:rsidRPr="007B2940">
        <w:rPr>
          <w:rFonts w:ascii="Arial" w:eastAsia="Times New Roman" w:hAnsi="Arial" w:cs="Arial"/>
          <w:color w:val="000000"/>
          <w:sz w:val="24"/>
          <w:szCs w:val="24"/>
        </w:rPr>
        <w:t>of Maryland, </w:t>
      </w:r>
      <w:r w:rsidRPr="007B2940">
        <w:rPr>
          <w:rFonts w:ascii="Arial" w:eastAsia="Times New Roman" w:hAnsi="Arial" w:cs="Arial"/>
          <w:i/>
          <w:iCs/>
          <w:color w:val="000000"/>
          <w:sz w:val="24"/>
          <w:szCs w:val="24"/>
        </w:rPr>
        <w:t>Don Stenberg </w:t>
      </w:r>
      <w:r w:rsidRPr="007B2940">
        <w:rPr>
          <w:rFonts w:ascii="Arial" w:eastAsia="Times New Roman" w:hAnsi="Arial" w:cs="Arial"/>
          <w:color w:val="000000"/>
          <w:sz w:val="24"/>
          <w:szCs w:val="24"/>
        </w:rPr>
        <w:t>of Nebraska, </w:t>
      </w:r>
      <w:r w:rsidRPr="007B2940">
        <w:rPr>
          <w:rFonts w:ascii="Arial" w:eastAsia="Times New Roman" w:hAnsi="Arial" w:cs="Arial"/>
          <w:i/>
          <w:iCs/>
          <w:color w:val="000000"/>
          <w:sz w:val="24"/>
          <w:szCs w:val="24"/>
        </w:rPr>
        <w:t>Frankie Sue Del Papa </w:t>
      </w:r>
      <w:r w:rsidRPr="007B2940">
        <w:rPr>
          <w:rFonts w:ascii="Arial" w:eastAsia="Times New Roman" w:hAnsi="Arial" w:cs="Arial"/>
          <w:color w:val="000000"/>
          <w:sz w:val="24"/>
          <w:szCs w:val="24"/>
        </w:rPr>
        <w:t>of Nevada, </w:t>
      </w:r>
      <w:r w:rsidRPr="007B2940">
        <w:rPr>
          <w:rFonts w:ascii="Arial" w:eastAsia="Times New Roman" w:hAnsi="Arial" w:cs="Arial"/>
          <w:i/>
          <w:iCs/>
          <w:color w:val="000000"/>
          <w:sz w:val="24"/>
          <w:szCs w:val="24"/>
        </w:rPr>
        <w:t>David Samson </w:t>
      </w:r>
      <w:r w:rsidRPr="007B2940">
        <w:rPr>
          <w:rFonts w:ascii="Arial" w:eastAsia="Times New Roman" w:hAnsi="Arial" w:cs="Arial"/>
          <w:color w:val="000000"/>
          <w:sz w:val="24"/>
          <w:szCs w:val="24"/>
        </w:rPr>
        <w:t>of New Jersey, </w:t>
      </w:r>
      <w:r w:rsidRPr="007B2940">
        <w:rPr>
          <w:rFonts w:ascii="Arial" w:eastAsia="Times New Roman" w:hAnsi="Arial" w:cs="Arial"/>
          <w:i/>
          <w:iCs/>
          <w:color w:val="000000"/>
          <w:sz w:val="24"/>
          <w:szCs w:val="24"/>
        </w:rPr>
        <w:t xml:space="preserve">Wayne </w:t>
      </w:r>
      <w:proofErr w:type="spellStart"/>
      <w:r w:rsidRPr="007B2940">
        <w:rPr>
          <w:rFonts w:ascii="Arial" w:eastAsia="Times New Roman" w:hAnsi="Arial" w:cs="Arial"/>
          <w:i/>
          <w:iCs/>
          <w:color w:val="000000"/>
          <w:sz w:val="24"/>
          <w:szCs w:val="24"/>
        </w:rPr>
        <w:t>Stenehjem</w:t>
      </w:r>
      <w:proofErr w:type="spellEnd"/>
      <w:r w:rsidRPr="007B2940">
        <w:rPr>
          <w:rFonts w:ascii="Arial" w:eastAsia="Times New Roman" w:hAnsi="Arial" w:cs="Arial"/>
          <w:i/>
          <w:iCs/>
          <w:color w:val="000000"/>
          <w:sz w:val="24"/>
          <w:szCs w:val="24"/>
        </w:rPr>
        <w:t> </w:t>
      </w:r>
      <w:r w:rsidRPr="007B2940">
        <w:rPr>
          <w:rFonts w:ascii="Arial" w:eastAsia="Times New Roman" w:hAnsi="Arial" w:cs="Arial"/>
          <w:color w:val="000000"/>
          <w:sz w:val="24"/>
          <w:szCs w:val="24"/>
        </w:rPr>
        <w:t>of North Dakota, </w:t>
      </w:r>
      <w:r w:rsidRPr="007B2940">
        <w:rPr>
          <w:rFonts w:ascii="Arial" w:eastAsia="Times New Roman" w:hAnsi="Arial" w:cs="Arial"/>
          <w:i/>
          <w:iCs/>
          <w:color w:val="000000"/>
          <w:sz w:val="24"/>
          <w:szCs w:val="24"/>
        </w:rPr>
        <w:t>Betty D. Montgomery </w:t>
      </w:r>
      <w:r w:rsidRPr="007B2940">
        <w:rPr>
          <w:rFonts w:ascii="Arial" w:eastAsia="Times New Roman" w:hAnsi="Arial" w:cs="Arial"/>
          <w:color w:val="000000"/>
          <w:sz w:val="24"/>
          <w:szCs w:val="24"/>
        </w:rPr>
        <w:t>of Ohio, </w:t>
      </w:r>
      <w:r w:rsidRPr="007B2940">
        <w:rPr>
          <w:rFonts w:ascii="Arial" w:eastAsia="Times New Roman" w:hAnsi="Arial" w:cs="Arial"/>
          <w:i/>
          <w:iCs/>
          <w:color w:val="000000"/>
          <w:sz w:val="24"/>
          <w:szCs w:val="24"/>
        </w:rPr>
        <w:t>W A. Drew Edmondson </w:t>
      </w:r>
      <w:r w:rsidRPr="007B2940">
        <w:rPr>
          <w:rFonts w:ascii="Arial" w:eastAsia="Times New Roman" w:hAnsi="Arial" w:cs="Arial"/>
          <w:color w:val="000000"/>
          <w:sz w:val="24"/>
          <w:szCs w:val="24"/>
        </w:rPr>
        <w:t>of Oklahoma, </w:t>
      </w:r>
      <w:r w:rsidRPr="007B2940">
        <w:rPr>
          <w:rFonts w:ascii="Arial" w:eastAsia="Times New Roman" w:hAnsi="Arial" w:cs="Arial"/>
          <w:i/>
          <w:iCs/>
          <w:color w:val="000000"/>
          <w:sz w:val="24"/>
          <w:szCs w:val="24"/>
        </w:rPr>
        <w:t>Hardy Myers </w:t>
      </w:r>
      <w:r w:rsidRPr="007B2940">
        <w:rPr>
          <w:rFonts w:ascii="Arial" w:eastAsia="Times New Roman" w:hAnsi="Arial" w:cs="Arial"/>
          <w:color w:val="000000"/>
          <w:sz w:val="24"/>
          <w:szCs w:val="24"/>
        </w:rPr>
        <w:t>of Oregon, </w:t>
      </w:r>
      <w:r w:rsidRPr="007B2940">
        <w:rPr>
          <w:rFonts w:ascii="Arial" w:eastAsia="Times New Roman" w:hAnsi="Arial" w:cs="Arial"/>
          <w:i/>
          <w:iCs/>
          <w:color w:val="000000"/>
          <w:sz w:val="24"/>
          <w:szCs w:val="24"/>
        </w:rPr>
        <w:t>Mark L. Shurtleff </w:t>
      </w:r>
      <w:r w:rsidRPr="007B2940">
        <w:rPr>
          <w:rFonts w:ascii="Arial" w:eastAsia="Times New Roman" w:hAnsi="Arial" w:cs="Arial"/>
          <w:color w:val="000000"/>
          <w:sz w:val="24"/>
          <w:szCs w:val="24"/>
        </w:rPr>
        <w:t>of Utah, and </w:t>
      </w:r>
      <w:r w:rsidRPr="007B2940">
        <w:rPr>
          <w:rFonts w:ascii="Arial" w:eastAsia="Times New Roman" w:hAnsi="Arial" w:cs="Arial"/>
          <w:i/>
          <w:iCs/>
          <w:color w:val="000000"/>
          <w:sz w:val="24"/>
          <w:szCs w:val="24"/>
        </w:rPr>
        <w:t>Hoke MacMillan </w:t>
      </w:r>
      <w:r w:rsidRPr="007B2940">
        <w:rPr>
          <w:rFonts w:ascii="Arial" w:eastAsia="Times New Roman" w:hAnsi="Arial" w:cs="Arial"/>
          <w:color w:val="000000"/>
          <w:sz w:val="24"/>
          <w:szCs w:val="24"/>
        </w:rPr>
        <w:t>of Wyoming; for the California Municipalities et al. by </w:t>
      </w:r>
      <w:r w:rsidRPr="007B2940">
        <w:rPr>
          <w:rFonts w:ascii="Arial" w:eastAsia="Times New Roman" w:hAnsi="Arial" w:cs="Arial"/>
          <w:i/>
          <w:iCs/>
          <w:color w:val="000000"/>
          <w:sz w:val="24"/>
          <w:szCs w:val="24"/>
        </w:rPr>
        <w:t>Samuel L. Jackson, Pamela Albers, Michael </w:t>
      </w:r>
      <w:r w:rsidRPr="007B2940">
        <w:rPr>
          <w:rFonts w:ascii="Arial" w:eastAsia="Times New Roman" w:hAnsi="Arial" w:cs="Arial"/>
          <w:color w:val="000000"/>
          <w:sz w:val="24"/>
          <w:szCs w:val="24"/>
        </w:rPr>
        <w:t>G. </w:t>
      </w:r>
      <w:proofErr w:type="spellStart"/>
      <w:r w:rsidRPr="007B2940">
        <w:rPr>
          <w:rFonts w:ascii="Arial" w:eastAsia="Times New Roman" w:hAnsi="Arial" w:cs="Arial"/>
          <w:i/>
          <w:iCs/>
          <w:color w:val="000000"/>
          <w:sz w:val="24"/>
          <w:szCs w:val="24"/>
        </w:rPr>
        <w:t>Colantuono</w:t>
      </w:r>
      <w:proofErr w:type="spellEnd"/>
      <w:r w:rsidRPr="007B2940">
        <w:rPr>
          <w:rFonts w:ascii="Arial" w:eastAsia="Times New Roman" w:hAnsi="Arial" w:cs="Arial"/>
          <w:i/>
          <w:iCs/>
          <w:color w:val="000000"/>
          <w:sz w:val="24"/>
          <w:szCs w:val="24"/>
        </w:rPr>
        <w:t>, Ronald R. Ball, Michael </w:t>
      </w:r>
      <w:r w:rsidRPr="007B2940">
        <w:rPr>
          <w:rFonts w:ascii="Arial" w:eastAsia="Times New Roman" w:hAnsi="Arial" w:cs="Arial"/>
          <w:color w:val="000000"/>
          <w:sz w:val="24"/>
          <w:szCs w:val="24"/>
        </w:rPr>
        <w:t>F. </w:t>
      </w:r>
      <w:r w:rsidRPr="007B2940">
        <w:rPr>
          <w:rFonts w:ascii="Arial" w:eastAsia="Times New Roman" w:hAnsi="Arial" w:cs="Arial"/>
          <w:i/>
          <w:iCs/>
          <w:color w:val="000000"/>
          <w:sz w:val="24"/>
          <w:szCs w:val="24"/>
        </w:rPr>
        <w:t>Dean, John L. Cook, Charles E. Dickerson III,</w:t>
      </w:r>
    </w:p>
    <w:p w:rsidR="007B2940" w:rsidRPr="007B2940" w:rsidRDefault="006F3090" w:rsidP="007B294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6F3090">
        <w:rPr>
          <w:rFonts w:ascii="Times New Roman" w:eastAsia="Times New Roman" w:hAnsi="Times New Roman" w:cs="Times New Roman"/>
          <w:noProof/>
          <w:sz w:val="24"/>
          <w:szCs w:val="24"/>
        </w:rPr>
        <w:pict>
          <v:rect id="_x0000_i1026" style="width:0;height:0" o:hrstd="t" o:hrnoshade="t" o:hr="t" fillcolor="black" stroked="f"/>
        </w:pic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bookmarkStart w:id="1" w:name="183"/>
      <w:r w:rsidRPr="007B2940">
        <w:rPr>
          <w:rFonts w:ascii="Arial" w:eastAsia="Times New Roman" w:hAnsi="Arial" w:cs="Arial"/>
          <w:color w:val="06357A"/>
          <w:sz w:val="24"/>
          <w:szCs w:val="24"/>
        </w:rPr>
        <w:t>183</w:t>
      </w:r>
      <w:bookmarkEnd w:id="1"/>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lastRenderedPageBreak/>
        <w:t>JUSTICE SCALIA delivered the opinion of the Court.</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We must decide whether punitive damages may be awarded in a private cause of action brought under § 202 of the Americans with Disabilities Act of 1990 (ADA), 104 Stat. 337, 42 U. S. C. § 12132 (1994 ed.), and § 504 of the Rehabilitation Act of 1973, 87 Stat. 394, 29 U. S. C. § 794(a).</w:t>
      </w:r>
    </w:p>
    <w:p w:rsidR="007B2940" w:rsidRPr="007B2940" w:rsidRDefault="007B2940" w:rsidP="007B2940">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B2940">
        <w:rPr>
          <w:rFonts w:ascii="Arial" w:eastAsia="Times New Roman" w:hAnsi="Arial" w:cs="Arial"/>
          <w:color w:val="000000"/>
          <w:sz w:val="24"/>
          <w:szCs w:val="24"/>
        </w:rPr>
        <w:t>I</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 xml:space="preserve">Respondent Jeffrey Gorman, a paraplegic, is confined to a wheelchair and lacks voluntary control over his lower torso, including his bladder, forcing him to wear a catheter attached to a urine bag around his waist. In May 1992, he was arrested for trespass after fighting with a bouncer at a Kansas City, Missouri, nightclub. While waiting for a police van to transport him to the station, he was denied permission to use a restroom to empty his urine bag. When the van arrived, it was not equipped to receive respondent's wheelchair. Over respondent's objection, the officers removed him from his wheelchair and used a seatbelt and his own belt to strap him to a narrow bench in the rear of the van. During the ride to the police station, respondent released his seatbelt, fearing it placed excessive pressure on his urine bag. Eventually, the other belt came loose and respondent fell to the floor, rupturing his urine bag and injuring his shoulder and back. The driver, the only officer in the van, finding it impossible to lift respondent, fastened him to a support for the remainder of the trip. Upon </w:t>
      </w:r>
      <w:proofErr w:type="spellStart"/>
      <w:r w:rsidRPr="007B2940">
        <w:rPr>
          <w:rFonts w:ascii="Arial" w:eastAsia="Times New Roman" w:hAnsi="Arial" w:cs="Arial"/>
          <w:color w:val="000000"/>
          <w:sz w:val="24"/>
          <w:szCs w:val="24"/>
        </w:rPr>
        <w:t>arriv</w:t>
      </w:r>
      <w:proofErr w:type="spellEnd"/>
      <w:r w:rsidRPr="007B2940">
        <w:rPr>
          <w:rFonts w:ascii="Arial" w:eastAsia="Times New Roman" w:hAnsi="Arial" w:cs="Arial"/>
          <w:color w:val="000000"/>
          <w:sz w:val="24"/>
          <w:szCs w:val="24"/>
        </w:rPr>
        <w:t>-</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 xml:space="preserve">Joel D. </w:t>
      </w:r>
      <w:proofErr w:type="spellStart"/>
      <w:r w:rsidRPr="007B2940">
        <w:rPr>
          <w:rFonts w:ascii="Arial" w:eastAsia="Times New Roman" w:hAnsi="Arial" w:cs="Arial"/>
          <w:color w:val="000000"/>
          <w:sz w:val="24"/>
          <w:szCs w:val="24"/>
        </w:rPr>
        <w:t>Kuperberg</w:t>
      </w:r>
      <w:proofErr w:type="spellEnd"/>
      <w:r w:rsidRPr="007B2940">
        <w:rPr>
          <w:rFonts w:ascii="Arial" w:eastAsia="Times New Roman" w:hAnsi="Arial" w:cs="Arial"/>
          <w:color w:val="000000"/>
          <w:sz w:val="24"/>
          <w:szCs w:val="24"/>
        </w:rPr>
        <w:t xml:space="preserve">, Philip D. Kohn, John Sanford Todd, Robert E. Shannon, Joseph A. </w:t>
      </w:r>
      <w:proofErr w:type="spellStart"/>
      <w:r w:rsidRPr="007B2940">
        <w:rPr>
          <w:rFonts w:ascii="Arial" w:eastAsia="Times New Roman" w:hAnsi="Arial" w:cs="Arial"/>
          <w:color w:val="000000"/>
          <w:sz w:val="24"/>
          <w:szCs w:val="24"/>
        </w:rPr>
        <w:t>Soldani</w:t>
      </w:r>
      <w:proofErr w:type="spellEnd"/>
      <w:r w:rsidRPr="007B2940">
        <w:rPr>
          <w:rFonts w:ascii="Arial" w:eastAsia="Times New Roman" w:hAnsi="Arial" w:cs="Arial"/>
          <w:color w:val="000000"/>
          <w:sz w:val="24"/>
          <w:szCs w:val="24"/>
        </w:rPr>
        <w:t xml:space="preserve">, William B. Conners, Gregory P. </w:t>
      </w:r>
      <w:proofErr w:type="spellStart"/>
      <w:r w:rsidRPr="007B2940">
        <w:rPr>
          <w:rFonts w:ascii="Arial" w:eastAsia="Times New Roman" w:hAnsi="Arial" w:cs="Arial"/>
          <w:color w:val="000000"/>
          <w:sz w:val="24"/>
          <w:szCs w:val="24"/>
        </w:rPr>
        <w:t>Priamos</w:t>
      </w:r>
      <w:proofErr w:type="spellEnd"/>
      <w:r w:rsidRPr="007B2940">
        <w:rPr>
          <w:rFonts w:ascii="Arial" w:eastAsia="Times New Roman" w:hAnsi="Arial" w:cs="Arial"/>
          <w:color w:val="000000"/>
          <w:sz w:val="24"/>
          <w:szCs w:val="24"/>
        </w:rPr>
        <w:t xml:space="preserve">, </w:t>
      </w:r>
      <w:proofErr w:type="spellStart"/>
      <w:r w:rsidRPr="007B2940">
        <w:rPr>
          <w:rFonts w:ascii="Arial" w:eastAsia="Times New Roman" w:hAnsi="Arial" w:cs="Arial"/>
          <w:color w:val="000000"/>
          <w:sz w:val="24"/>
          <w:szCs w:val="24"/>
        </w:rPr>
        <w:t>Hadden</w:t>
      </w:r>
      <w:proofErr w:type="spellEnd"/>
      <w:r w:rsidRPr="007B2940">
        <w:rPr>
          <w:rFonts w:ascii="Arial" w:eastAsia="Times New Roman" w:hAnsi="Arial" w:cs="Arial"/>
          <w:color w:val="000000"/>
          <w:sz w:val="24"/>
          <w:szCs w:val="24"/>
        </w:rPr>
        <w:t xml:space="preserve"> Roth, James F. Penman, George Rios, Brien </w:t>
      </w:r>
      <w:r w:rsidRPr="007B2940">
        <w:rPr>
          <w:rFonts w:ascii="Arial" w:eastAsia="Times New Roman" w:hAnsi="Arial" w:cs="Arial"/>
          <w:i/>
          <w:iCs/>
          <w:color w:val="000000"/>
          <w:sz w:val="24"/>
          <w:szCs w:val="24"/>
        </w:rPr>
        <w:t>J. </w:t>
      </w:r>
      <w:r w:rsidRPr="007B2940">
        <w:rPr>
          <w:rFonts w:ascii="Arial" w:eastAsia="Times New Roman" w:hAnsi="Arial" w:cs="Arial"/>
          <w:color w:val="000000"/>
          <w:sz w:val="24"/>
          <w:szCs w:val="24"/>
        </w:rPr>
        <w:t>Farrell, Valerie </w:t>
      </w:r>
      <w:r w:rsidRPr="007B2940">
        <w:rPr>
          <w:rFonts w:ascii="Arial" w:eastAsia="Times New Roman" w:hAnsi="Arial" w:cs="Arial"/>
          <w:i/>
          <w:iCs/>
          <w:color w:val="000000"/>
          <w:sz w:val="24"/>
          <w:szCs w:val="24"/>
        </w:rPr>
        <w:t>J. </w:t>
      </w:r>
      <w:r w:rsidRPr="007B2940">
        <w:rPr>
          <w:rFonts w:ascii="Arial" w:eastAsia="Times New Roman" w:hAnsi="Arial" w:cs="Arial"/>
          <w:color w:val="000000"/>
          <w:sz w:val="24"/>
          <w:szCs w:val="24"/>
        </w:rPr>
        <w:t>Armento, Debra E. Corbett, </w:t>
      </w:r>
      <w:r w:rsidRPr="007B2940">
        <w:rPr>
          <w:rFonts w:ascii="Arial" w:eastAsia="Times New Roman" w:hAnsi="Arial" w:cs="Arial"/>
          <w:i/>
          <w:iCs/>
          <w:color w:val="000000"/>
          <w:sz w:val="24"/>
          <w:szCs w:val="24"/>
        </w:rPr>
        <w:t>J. </w:t>
      </w:r>
      <w:r w:rsidRPr="007B2940">
        <w:rPr>
          <w:rFonts w:ascii="Arial" w:eastAsia="Times New Roman" w:hAnsi="Arial" w:cs="Arial"/>
          <w:color w:val="000000"/>
          <w:sz w:val="24"/>
          <w:szCs w:val="24"/>
        </w:rPr>
        <w:t xml:space="preserve">Wallace </w:t>
      </w:r>
      <w:proofErr w:type="spellStart"/>
      <w:r w:rsidRPr="007B2940">
        <w:rPr>
          <w:rFonts w:ascii="Arial" w:eastAsia="Times New Roman" w:hAnsi="Arial" w:cs="Arial"/>
          <w:color w:val="000000"/>
          <w:sz w:val="24"/>
          <w:szCs w:val="24"/>
        </w:rPr>
        <w:t>Wortham</w:t>
      </w:r>
      <w:proofErr w:type="spellEnd"/>
      <w:r w:rsidRPr="007B2940">
        <w:rPr>
          <w:rFonts w:ascii="Arial" w:eastAsia="Times New Roman" w:hAnsi="Arial" w:cs="Arial"/>
          <w:color w:val="000000"/>
          <w:sz w:val="24"/>
          <w:szCs w:val="24"/>
        </w:rPr>
        <w:t xml:space="preserve">, Jr., A. Scott Chinn, Karl F. Dean, Michael Cardozo, Nelson A. Diaz, Jeffrey L. Rogers, John C. Wolfe, and Harry Morrison, Jr.; and for the International City/County Management Association et al. by Richard </w:t>
      </w:r>
      <w:proofErr w:type="spellStart"/>
      <w:r w:rsidRPr="007B2940">
        <w:rPr>
          <w:rFonts w:ascii="Arial" w:eastAsia="Times New Roman" w:hAnsi="Arial" w:cs="Arial"/>
          <w:color w:val="000000"/>
          <w:sz w:val="24"/>
          <w:szCs w:val="24"/>
        </w:rPr>
        <w:t>Ruda</w:t>
      </w:r>
      <w:proofErr w:type="spellEnd"/>
      <w:r w:rsidRPr="007B2940">
        <w:rPr>
          <w:rFonts w:ascii="Arial" w:eastAsia="Times New Roman" w:hAnsi="Arial" w:cs="Arial"/>
          <w:color w:val="000000"/>
          <w:sz w:val="24"/>
          <w:szCs w:val="24"/>
        </w:rPr>
        <w:t xml:space="preserve"> and James I. Crowley.</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i/>
          <w:iCs/>
          <w:color w:val="000000"/>
          <w:sz w:val="24"/>
          <w:szCs w:val="24"/>
        </w:rPr>
        <w:t>Jeffrey Robert White </w:t>
      </w:r>
      <w:r w:rsidRPr="007B2940">
        <w:rPr>
          <w:rFonts w:ascii="Arial" w:eastAsia="Times New Roman" w:hAnsi="Arial" w:cs="Arial"/>
          <w:color w:val="000000"/>
          <w:sz w:val="24"/>
          <w:szCs w:val="24"/>
        </w:rPr>
        <w:t>filed a brief for the Association of Trial Lawyers of America et al. as </w:t>
      </w:r>
      <w:r w:rsidRPr="007B2940">
        <w:rPr>
          <w:rFonts w:ascii="Arial" w:eastAsia="Times New Roman" w:hAnsi="Arial" w:cs="Arial"/>
          <w:i/>
          <w:iCs/>
          <w:color w:val="000000"/>
          <w:sz w:val="24"/>
          <w:szCs w:val="24"/>
        </w:rPr>
        <w:t>amici curiae </w:t>
      </w:r>
      <w:r w:rsidRPr="007B2940">
        <w:rPr>
          <w:rFonts w:ascii="Arial" w:eastAsia="Times New Roman" w:hAnsi="Arial" w:cs="Arial"/>
          <w:color w:val="000000"/>
          <w:sz w:val="24"/>
          <w:szCs w:val="24"/>
        </w:rPr>
        <w:t>urging affirmance.</w:t>
      </w:r>
    </w:p>
    <w:p w:rsidR="007B2940" w:rsidRPr="007B2940" w:rsidRDefault="006F3090" w:rsidP="007B294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6F3090">
        <w:rPr>
          <w:rFonts w:ascii="Times New Roman" w:eastAsia="Times New Roman" w:hAnsi="Times New Roman" w:cs="Times New Roman"/>
          <w:noProof/>
          <w:sz w:val="24"/>
          <w:szCs w:val="24"/>
        </w:rPr>
        <w:pict>
          <v:rect id="_x0000_i1027" style="width:0;height:0" o:hrstd="t" o:hrnoshade="t" o:hr="t" fillcolor="black" stroked="f"/>
        </w:pic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bookmarkStart w:id="2" w:name="184"/>
      <w:r w:rsidRPr="007B2940">
        <w:rPr>
          <w:rFonts w:ascii="Arial" w:eastAsia="Times New Roman" w:hAnsi="Arial" w:cs="Arial"/>
          <w:color w:val="06357A"/>
          <w:sz w:val="24"/>
          <w:szCs w:val="24"/>
        </w:rPr>
        <w:t>184</w:t>
      </w:r>
      <w:bookmarkEnd w:id="2"/>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ing at the station, respondent was booked, processed, and released; later he was convicted of misdemeanor trespass. After these events, respondent suffered serious medical problems-including a bladder infection, serious lower back pain, and uncontrollable spasms in his paralyzed areas-that left him unable to work full time.</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 xml:space="preserve">Respondent brought suit against petitioners-members of the Kansas City Board of Police Commissioners, the chief of police, and the officer who drove the van-in the United States District Court for the Western District of Missouri. The suit claimed petitioners had discriminated against respondent on the basis of his disability, in </w:t>
      </w:r>
      <w:r w:rsidRPr="007B2940">
        <w:rPr>
          <w:rFonts w:ascii="Arial" w:eastAsia="Times New Roman" w:hAnsi="Arial" w:cs="Arial"/>
          <w:color w:val="000000"/>
          <w:sz w:val="24"/>
          <w:szCs w:val="24"/>
        </w:rPr>
        <w:lastRenderedPageBreak/>
        <w:t>violation of § 202 of the ADA and § 504 of the Rehabilitation Act, by failing to maintain appropriate policies for the arrest and transportation of persons with spinal cord injuries.</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A jury found petitioners liable and awarded over $1 million in compensatory damages and $1.2 million in punitive damages. The District Court vacated the punitive damages award, holding that punitive damages are unavailable in suits under § 202 of the ADA and § 504 of the Rehabilitation Act. The Court of Appeals for the Eighth Circuit reversed, relying on this Court's decision in </w:t>
      </w:r>
      <w:r w:rsidRPr="007B2940">
        <w:rPr>
          <w:rFonts w:ascii="Arial" w:eastAsia="Times New Roman" w:hAnsi="Arial" w:cs="Arial"/>
          <w:i/>
          <w:iCs/>
          <w:color w:val="000000"/>
          <w:sz w:val="24"/>
          <w:szCs w:val="24"/>
        </w:rPr>
        <w:t>Franklin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Gwinnett County Public Schools, </w:t>
      </w:r>
      <w:hyperlink r:id="rId6" w:history="1">
        <w:r w:rsidRPr="007B2940">
          <w:rPr>
            <w:rFonts w:ascii="Arial" w:eastAsia="Times New Roman" w:hAnsi="Arial" w:cs="Arial"/>
            <w:color w:val="06357A"/>
            <w:sz w:val="24"/>
            <w:szCs w:val="24"/>
          </w:rPr>
          <w:t>503 U. S. 60</w:t>
        </w:r>
      </w:hyperlink>
      <w:r w:rsidRPr="007B2940">
        <w:rPr>
          <w:rFonts w:ascii="Arial" w:eastAsia="Times New Roman" w:hAnsi="Arial" w:cs="Arial"/>
          <w:color w:val="000000"/>
          <w:sz w:val="24"/>
          <w:szCs w:val="24"/>
        </w:rPr>
        <w:t>, 70-71 (1992), which stated the "general rule" that "absent clear direction to the contrary by Congress, the federal courts have the power to award any appropriate relief in a cognizable cause of action brought pursuant to a federal statute." Punitive damages are appropriate relief, the Eighth Circuit held, because they are "an integral part of the common law tradition and the judicial arsenal," </w:t>
      </w:r>
      <w:hyperlink r:id="rId7" w:history="1">
        <w:r w:rsidRPr="007B2940">
          <w:rPr>
            <w:rFonts w:ascii="Arial" w:eastAsia="Times New Roman" w:hAnsi="Arial" w:cs="Arial"/>
            <w:color w:val="06357A"/>
            <w:sz w:val="24"/>
            <w:szCs w:val="24"/>
          </w:rPr>
          <w:t>257 F.3d 738</w:t>
        </w:r>
      </w:hyperlink>
      <w:r w:rsidRPr="007B2940">
        <w:rPr>
          <w:rFonts w:ascii="Arial" w:eastAsia="Times New Roman" w:hAnsi="Arial" w:cs="Arial"/>
          <w:color w:val="000000"/>
          <w:sz w:val="24"/>
          <w:szCs w:val="24"/>
        </w:rPr>
        <w:t>, 745 (2001), and Congress did nothing to disturb this tradition in enacting or amending the relevant statutes, </w:t>
      </w:r>
      <w:r w:rsidRPr="007B2940">
        <w:rPr>
          <w:rFonts w:ascii="Arial" w:eastAsia="Times New Roman" w:hAnsi="Arial" w:cs="Arial"/>
          <w:i/>
          <w:iCs/>
          <w:color w:val="000000"/>
          <w:sz w:val="24"/>
          <w:szCs w:val="24"/>
        </w:rPr>
        <w:t>id., </w:t>
      </w:r>
      <w:r w:rsidRPr="007B2940">
        <w:rPr>
          <w:rFonts w:ascii="Arial" w:eastAsia="Times New Roman" w:hAnsi="Arial" w:cs="Arial"/>
          <w:color w:val="000000"/>
          <w:sz w:val="24"/>
          <w:szCs w:val="24"/>
        </w:rPr>
        <w:t>at 747. We granted certiorari. 534 U. S. 1103 (2002).</w:t>
      </w:r>
    </w:p>
    <w:p w:rsidR="007B2940" w:rsidRPr="007B2940" w:rsidRDefault="007B2940" w:rsidP="007B2940">
      <w:pPr>
        <w:shd w:val="clear" w:color="auto" w:fill="FFFFFF"/>
        <w:spacing w:before="100" w:beforeAutospacing="1" w:after="100" w:afterAutospacing="1" w:line="240" w:lineRule="auto"/>
        <w:jc w:val="center"/>
        <w:rPr>
          <w:rFonts w:ascii="Arial" w:eastAsia="Times New Roman" w:hAnsi="Arial" w:cs="Arial"/>
          <w:color w:val="000000"/>
          <w:sz w:val="24"/>
          <w:szCs w:val="24"/>
        </w:rPr>
      </w:pPr>
      <w:r w:rsidRPr="007B2940">
        <w:rPr>
          <w:rFonts w:ascii="Arial" w:eastAsia="Times New Roman" w:hAnsi="Arial" w:cs="Arial"/>
          <w:color w:val="000000"/>
          <w:sz w:val="24"/>
          <w:szCs w:val="24"/>
        </w:rPr>
        <w:t>II</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Section 202 of the ADA prohibits discrimination against the disabled by public entities; § 504 of the Rehabilitation Act</w:t>
      </w:r>
    </w:p>
    <w:p w:rsidR="007B2940" w:rsidRPr="007B2940" w:rsidRDefault="006F3090" w:rsidP="007B294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6F3090">
        <w:rPr>
          <w:rFonts w:ascii="Times New Roman" w:eastAsia="Times New Roman" w:hAnsi="Times New Roman" w:cs="Times New Roman"/>
          <w:noProof/>
          <w:sz w:val="24"/>
          <w:szCs w:val="24"/>
        </w:rPr>
        <w:pict>
          <v:rect id="_x0000_i1028" style="width:0;height:0" o:hrstd="t" o:hrnoshade="t" o:hr="t" fillcolor="black" stroked="f"/>
        </w:pic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bookmarkStart w:id="3" w:name="185"/>
      <w:r w:rsidRPr="007B2940">
        <w:rPr>
          <w:rFonts w:ascii="Arial" w:eastAsia="Times New Roman" w:hAnsi="Arial" w:cs="Arial"/>
          <w:color w:val="06357A"/>
          <w:sz w:val="24"/>
          <w:szCs w:val="24"/>
        </w:rPr>
        <w:t>185</w:t>
      </w:r>
      <w:bookmarkEnd w:id="3"/>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prohibits discrimination against the disabled by recipients of federal funding, including private organizations, 29 U. S. C. § 794(b)(3). Both provisions are enforceable through private causes of action. Section 203 of the ADA declares that the "remedies, procedures, and rights set forth in [§ 505(a)(2) of the Rehabilitation Act] shall be the remedies, procedures, and rights this subchapter provides" for violations of § 202. 42 U. S. C. § 12133. Section 505(a)(2) of the Rehabilitation Act, in turn, declares that the "remedies, procedures, and rights set forth in title VI of the Civil Rights Act of 1964 ... shall be available" for violations of § 504, as added, 92 Stat. 2983, 29 U. S. C. § 794a(a)(2). Thus, the remedies for violations of § 202 of the ADA and § 504 of the Rehabilitation Act are coextensive with the remedies available in a private cause of action brought under Title VI of the Civil Rights Act of 1964, 42 U. S. C. § 2000d </w:t>
      </w:r>
      <w:r w:rsidRPr="007B2940">
        <w:rPr>
          <w:rFonts w:ascii="Arial" w:eastAsia="Times New Roman" w:hAnsi="Arial" w:cs="Arial"/>
          <w:i/>
          <w:iCs/>
          <w:color w:val="000000"/>
          <w:sz w:val="24"/>
          <w:szCs w:val="24"/>
        </w:rPr>
        <w:t>et seq., </w:t>
      </w:r>
      <w:r w:rsidRPr="007B2940">
        <w:rPr>
          <w:rFonts w:ascii="Arial" w:eastAsia="Times New Roman" w:hAnsi="Arial" w:cs="Arial"/>
          <w:color w:val="000000"/>
          <w:sz w:val="24"/>
          <w:szCs w:val="24"/>
        </w:rPr>
        <w:t>which prohibits racial discrimination in federally funded programs and activities.</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Although Title VI does not mention a private right of action, our prior decisions have found an </w:t>
      </w:r>
      <w:r w:rsidRPr="007B2940">
        <w:rPr>
          <w:rFonts w:ascii="Arial" w:eastAsia="Times New Roman" w:hAnsi="Arial" w:cs="Arial"/>
          <w:i/>
          <w:iCs/>
          <w:color w:val="000000"/>
          <w:sz w:val="24"/>
          <w:szCs w:val="24"/>
        </w:rPr>
        <w:t>implied </w:t>
      </w:r>
      <w:r w:rsidRPr="007B2940">
        <w:rPr>
          <w:rFonts w:ascii="Arial" w:eastAsia="Times New Roman" w:hAnsi="Arial" w:cs="Arial"/>
          <w:color w:val="000000"/>
          <w:sz w:val="24"/>
          <w:szCs w:val="24"/>
        </w:rPr>
        <w:t>right of action, </w:t>
      </w:r>
      <w:r w:rsidRPr="007B2940">
        <w:rPr>
          <w:rFonts w:ascii="Arial" w:eastAsia="Times New Roman" w:hAnsi="Arial" w:cs="Arial"/>
          <w:i/>
          <w:iCs/>
          <w:color w:val="000000"/>
          <w:sz w:val="24"/>
          <w:szCs w:val="24"/>
        </w:rPr>
        <w:t>e. g., Cannon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University of Chicago, </w:t>
      </w:r>
      <w:hyperlink r:id="rId8" w:history="1">
        <w:r w:rsidRPr="007B2940">
          <w:rPr>
            <w:rFonts w:ascii="Arial" w:eastAsia="Times New Roman" w:hAnsi="Arial" w:cs="Arial"/>
            <w:color w:val="06357A"/>
            <w:sz w:val="24"/>
            <w:szCs w:val="24"/>
          </w:rPr>
          <w:t>441 U. S. 677</w:t>
        </w:r>
      </w:hyperlink>
      <w:r w:rsidRPr="007B2940">
        <w:rPr>
          <w:rFonts w:ascii="Arial" w:eastAsia="Times New Roman" w:hAnsi="Arial" w:cs="Arial"/>
          <w:color w:val="000000"/>
          <w:sz w:val="24"/>
          <w:szCs w:val="24"/>
        </w:rPr>
        <w:t>, 703 (1979), and Congress has acknowledged this right in amendments to the statute, leaving it "beyond dispute that private individuals may sue to enforce" Title VI, </w:t>
      </w:r>
      <w:r w:rsidRPr="007B2940">
        <w:rPr>
          <w:rFonts w:ascii="Arial" w:eastAsia="Times New Roman" w:hAnsi="Arial" w:cs="Arial"/>
          <w:i/>
          <w:iCs/>
          <w:color w:val="000000"/>
          <w:sz w:val="24"/>
          <w:szCs w:val="24"/>
        </w:rPr>
        <w:t>Alexander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Sandoval, </w:t>
      </w:r>
      <w:hyperlink r:id="rId9" w:history="1">
        <w:r w:rsidRPr="007B2940">
          <w:rPr>
            <w:rFonts w:ascii="Arial" w:eastAsia="Times New Roman" w:hAnsi="Arial" w:cs="Arial"/>
            <w:color w:val="06357A"/>
            <w:sz w:val="24"/>
            <w:szCs w:val="24"/>
          </w:rPr>
          <w:t>532 U. S. 275</w:t>
        </w:r>
      </w:hyperlink>
      <w:r w:rsidRPr="007B2940">
        <w:rPr>
          <w:rFonts w:ascii="Arial" w:eastAsia="Times New Roman" w:hAnsi="Arial" w:cs="Arial"/>
          <w:color w:val="000000"/>
          <w:sz w:val="24"/>
          <w:szCs w:val="24"/>
        </w:rPr>
        <w:t>, 280 (2001). It is less clear what remedies are available in such a suit. In </w:t>
      </w:r>
      <w:r w:rsidRPr="007B2940">
        <w:rPr>
          <w:rFonts w:ascii="Arial" w:eastAsia="Times New Roman" w:hAnsi="Arial" w:cs="Arial"/>
          <w:i/>
          <w:iCs/>
          <w:color w:val="000000"/>
          <w:sz w:val="24"/>
          <w:szCs w:val="24"/>
        </w:rPr>
        <w:t>Franklin, supra, </w:t>
      </w:r>
      <w:r w:rsidRPr="007B2940">
        <w:rPr>
          <w:rFonts w:ascii="Arial" w:eastAsia="Times New Roman" w:hAnsi="Arial" w:cs="Arial"/>
          <w:color w:val="000000"/>
          <w:sz w:val="24"/>
          <w:szCs w:val="24"/>
        </w:rPr>
        <w:t>at 73, we recognized "the traditional presumption in favor of </w:t>
      </w:r>
      <w:r w:rsidRPr="007B2940">
        <w:rPr>
          <w:rFonts w:ascii="Arial" w:eastAsia="Times New Roman" w:hAnsi="Arial" w:cs="Arial"/>
          <w:i/>
          <w:iCs/>
          <w:color w:val="000000"/>
          <w:sz w:val="24"/>
          <w:szCs w:val="24"/>
        </w:rPr>
        <w:t>any appropriate relief </w:t>
      </w:r>
      <w:r w:rsidRPr="007B2940">
        <w:rPr>
          <w:rFonts w:ascii="Arial" w:eastAsia="Times New Roman" w:hAnsi="Arial" w:cs="Arial"/>
          <w:color w:val="000000"/>
          <w:sz w:val="24"/>
          <w:szCs w:val="24"/>
        </w:rPr>
        <w:t xml:space="preserve">for violation of a federal right," and held that since this presumption applies to suits under Title IX of the Education Amendments </w:t>
      </w:r>
      <w:r w:rsidRPr="007B2940">
        <w:rPr>
          <w:rFonts w:ascii="Arial" w:eastAsia="Times New Roman" w:hAnsi="Arial" w:cs="Arial"/>
          <w:color w:val="000000"/>
          <w:sz w:val="24"/>
          <w:szCs w:val="24"/>
        </w:rPr>
        <w:lastRenderedPageBreak/>
        <w:t>of 1972,20 U. S. C. §§ 16811688, monetary damages were available. (Emphasis added.) And the Court has interpreted Title IX consistently with Title VI, see </w:t>
      </w:r>
      <w:r w:rsidRPr="007B2940">
        <w:rPr>
          <w:rFonts w:ascii="Arial" w:eastAsia="Times New Roman" w:hAnsi="Arial" w:cs="Arial"/>
          <w:i/>
          <w:iCs/>
          <w:color w:val="000000"/>
          <w:sz w:val="24"/>
          <w:szCs w:val="24"/>
        </w:rPr>
        <w:t>Cannon, supra, </w:t>
      </w:r>
      <w:r w:rsidRPr="007B2940">
        <w:rPr>
          <w:rFonts w:ascii="Arial" w:eastAsia="Times New Roman" w:hAnsi="Arial" w:cs="Arial"/>
          <w:color w:val="000000"/>
          <w:sz w:val="24"/>
          <w:szCs w:val="24"/>
        </w:rPr>
        <w:t>at 694-698. </w:t>
      </w:r>
      <w:r w:rsidRPr="007B2940">
        <w:rPr>
          <w:rFonts w:ascii="Arial" w:eastAsia="Times New Roman" w:hAnsi="Arial" w:cs="Arial"/>
          <w:i/>
          <w:iCs/>
          <w:color w:val="000000"/>
          <w:sz w:val="24"/>
          <w:szCs w:val="24"/>
        </w:rPr>
        <w:t>Franklin, </w:t>
      </w:r>
      <w:r w:rsidRPr="007B2940">
        <w:rPr>
          <w:rFonts w:ascii="Arial" w:eastAsia="Times New Roman" w:hAnsi="Arial" w:cs="Arial"/>
          <w:color w:val="000000"/>
          <w:sz w:val="24"/>
          <w:szCs w:val="24"/>
        </w:rPr>
        <w:t>however, did not describe the scope of "appropriate relief." We take up this question today.</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Title VI invokes Congress's power under the Spending Clause, U. S. Const., Art. I, § 8, cl. 1, to place conditions on</w:t>
      </w:r>
    </w:p>
    <w:p w:rsidR="007B2940" w:rsidRPr="007B2940" w:rsidRDefault="006F3090" w:rsidP="007B294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6F3090">
        <w:rPr>
          <w:rFonts w:ascii="Times New Roman" w:eastAsia="Times New Roman" w:hAnsi="Times New Roman" w:cs="Times New Roman"/>
          <w:noProof/>
          <w:sz w:val="24"/>
          <w:szCs w:val="24"/>
        </w:rPr>
        <w:pict>
          <v:rect id="_x0000_i1029" style="width:0;height:0" o:hrstd="t" o:hrnoshade="t" o:hr="t" fillcolor="black" stroked="f"/>
        </w:pic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bookmarkStart w:id="4" w:name="186"/>
      <w:r w:rsidRPr="007B2940">
        <w:rPr>
          <w:rFonts w:ascii="Arial" w:eastAsia="Times New Roman" w:hAnsi="Arial" w:cs="Arial"/>
          <w:color w:val="06357A"/>
          <w:sz w:val="24"/>
          <w:szCs w:val="24"/>
        </w:rPr>
        <w:t>186</w:t>
      </w:r>
      <w:bookmarkEnd w:id="4"/>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the grant of federal funds. See </w:t>
      </w:r>
      <w:r w:rsidRPr="007B2940">
        <w:rPr>
          <w:rFonts w:ascii="Arial" w:eastAsia="Times New Roman" w:hAnsi="Arial" w:cs="Arial"/>
          <w:i/>
          <w:iCs/>
          <w:color w:val="000000"/>
          <w:sz w:val="24"/>
          <w:szCs w:val="24"/>
        </w:rPr>
        <w:t>Davis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Monroe County Bd. of Ed., </w:t>
      </w:r>
      <w:hyperlink r:id="rId10" w:history="1">
        <w:r w:rsidRPr="007B2940">
          <w:rPr>
            <w:rFonts w:ascii="Arial" w:eastAsia="Times New Roman" w:hAnsi="Arial" w:cs="Arial"/>
            <w:color w:val="06357A"/>
            <w:sz w:val="24"/>
            <w:szCs w:val="24"/>
          </w:rPr>
          <w:t>526 U. S. 629</w:t>
        </w:r>
      </w:hyperlink>
      <w:r w:rsidRPr="007B2940">
        <w:rPr>
          <w:rFonts w:ascii="Arial" w:eastAsia="Times New Roman" w:hAnsi="Arial" w:cs="Arial"/>
          <w:color w:val="000000"/>
          <w:sz w:val="24"/>
          <w:szCs w:val="24"/>
        </w:rPr>
        <w:t>, 640 (1999) (Title IX). We have repeatedly characterized this statute and other Spending Clause legislation as "much in the nature of a </w:t>
      </w:r>
      <w:r w:rsidRPr="007B2940">
        <w:rPr>
          <w:rFonts w:ascii="Arial" w:eastAsia="Times New Roman" w:hAnsi="Arial" w:cs="Arial"/>
          <w:i/>
          <w:iCs/>
          <w:color w:val="000000"/>
          <w:sz w:val="24"/>
          <w:szCs w:val="24"/>
        </w:rPr>
        <w:t>contract: </w:t>
      </w:r>
      <w:r w:rsidRPr="007B2940">
        <w:rPr>
          <w:rFonts w:ascii="Arial" w:eastAsia="Times New Roman" w:hAnsi="Arial" w:cs="Arial"/>
          <w:color w:val="000000"/>
          <w:sz w:val="24"/>
          <w:szCs w:val="24"/>
        </w:rPr>
        <w:t>in return for federal funds, the [recipients] agree to comply with federally imposed conditions." </w:t>
      </w:r>
      <w:r w:rsidRPr="007B2940">
        <w:rPr>
          <w:rFonts w:ascii="Arial" w:eastAsia="Times New Roman" w:hAnsi="Arial" w:cs="Arial"/>
          <w:i/>
          <w:iCs/>
          <w:color w:val="000000"/>
          <w:sz w:val="24"/>
          <w:szCs w:val="24"/>
        </w:rPr>
        <w:t>Pennhurst State School and Hospital </w:t>
      </w:r>
      <w:r w:rsidRPr="007B2940">
        <w:rPr>
          <w:rFonts w:ascii="Arial" w:eastAsia="Times New Roman" w:hAnsi="Arial" w:cs="Arial"/>
          <w:color w:val="000000"/>
          <w:sz w:val="24"/>
          <w:szCs w:val="24"/>
        </w:rPr>
        <w:t>v. </w:t>
      </w:r>
      <w:proofErr w:type="spellStart"/>
      <w:r w:rsidRPr="007B2940">
        <w:rPr>
          <w:rFonts w:ascii="Arial" w:eastAsia="Times New Roman" w:hAnsi="Arial" w:cs="Arial"/>
          <w:i/>
          <w:iCs/>
          <w:color w:val="000000"/>
          <w:sz w:val="24"/>
          <w:szCs w:val="24"/>
        </w:rPr>
        <w:t>Halderman</w:t>
      </w:r>
      <w:proofErr w:type="spellEnd"/>
      <w:r w:rsidRPr="007B2940">
        <w:rPr>
          <w:rFonts w:ascii="Arial" w:eastAsia="Times New Roman" w:hAnsi="Arial" w:cs="Arial"/>
          <w:i/>
          <w:iCs/>
          <w:color w:val="000000"/>
          <w:sz w:val="24"/>
          <w:szCs w:val="24"/>
        </w:rPr>
        <w:t>, </w:t>
      </w:r>
      <w:hyperlink r:id="rId11" w:history="1">
        <w:r w:rsidRPr="007B2940">
          <w:rPr>
            <w:rFonts w:ascii="Arial" w:eastAsia="Times New Roman" w:hAnsi="Arial" w:cs="Arial"/>
            <w:color w:val="06357A"/>
            <w:sz w:val="24"/>
            <w:szCs w:val="24"/>
          </w:rPr>
          <w:t>451 U. S. 1</w:t>
        </w:r>
      </w:hyperlink>
      <w:r w:rsidRPr="007B2940">
        <w:rPr>
          <w:rFonts w:ascii="Arial" w:eastAsia="Times New Roman" w:hAnsi="Arial" w:cs="Arial"/>
          <w:color w:val="000000"/>
          <w:sz w:val="24"/>
          <w:szCs w:val="24"/>
        </w:rPr>
        <w:t>, 17 (1981) (emphasis added); 1 see also </w:t>
      </w:r>
      <w:r w:rsidRPr="007B2940">
        <w:rPr>
          <w:rFonts w:ascii="Arial" w:eastAsia="Times New Roman" w:hAnsi="Arial" w:cs="Arial"/>
          <w:i/>
          <w:iCs/>
          <w:color w:val="000000"/>
          <w:sz w:val="24"/>
          <w:szCs w:val="24"/>
        </w:rPr>
        <w:t>Davis, supra, </w:t>
      </w:r>
      <w:r w:rsidRPr="007B2940">
        <w:rPr>
          <w:rFonts w:ascii="Arial" w:eastAsia="Times New Roman" w:hAnsi="Arial" w:cs="Arial"/>
          <w:color w:val="000000"/>
          <w:sz w:val="24"/>
          <w:szCs w:val="24"/>
        </w:rPr>
        <w:t>at 640; </w:t>
      </w:r>
      <w:proofErr w:type="spellStart"/>
      <w:r w:rsidRPr="007B2940">
        <w:rPr>
          <w:rFonts w:ascii="Arial" w:eastAsia="Times New Roman" w:hAnsi="Arial" w:cs="Arial"/>
          <w:i/>
          <w:iCs/>
          <w:color w:val="000000"/>
          <w:sz w:val="24"/>
          <w:szCs w:val="24"/>
        </w:rPr>
        <w:t>Gebser</w:t>
      </w:r>
      <w:proofErr w:type="spellEnd"/>
      <w:r w:rsidRPr="007B2940">
        <w:rPr>
          <w:rFonts w:ascii="Arial" w:eastAsia="Times New Roman" w:hAnsi="Arial" w:cs="Arial"/>
          <w:i/>
          <w:iCs/>
          <w:color w:val="000000"/>
          <w:sz w:val="24"/>
          <w:szCs w:val="24"/>
        </w:rPr>
        <w:t>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Lago Vista Independent School Dist., </w:t>
      </w:r>
      <w:hyperlink r:id="rId12" w:history="1">
        <w:r w:rsidRPr="007B2940">
          <w:rPr>
            <w:rFonts w:ascii="Arial" w:eastAsia="Times New Roman" w:hAnsi="Arial" w:cs="Arial"/>
            <w:color w:val="06357A"/>
            <w:sz w:val="24"/>
            <w:szCs w:val="24"/>
          </w:rPr>
          <w:t>524 U. S. 274</w:t>
        </w:r>
      </w:hyperlink>
      <w:r w:rsidRPr="007B2940">
        <w:rPr>
          <w:rFonts w:ascii="Arial" w:eastAsia="Times New Roman" w:hAnsi="Arial" w:cs="Arial"/>
          <w:color w:val="000000"/>
          <w:sz w:val="24"/>
          <w:szCs w:val="24"/>
        </w:rPr>
        <w:t>, 286 (1998); </w:t>
      </w:r>
      <w:r w:rsidRPr="007B2940">
        <w:rPr>
          <w:rFonts w:ascii="Arial" w:eastAsia="Times New Roman" w:hAnsi="Arial" w:cs="Arial"/>
          <w:i/>
          <w:iCs/>
          <w:color w:val="000000"/>
          <w:sz w:val="24"/>
          <w:szCs w:val="24"/>
        </w:rPr>
        <w:t>Guardians Assn.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Civil Servo Comm'n of New York City, 463 </w:t>
      </w:r>
      <w:r w:rsidRPr="007B2940">
        <w:rPr>
          <w:rFonts w:ascii="Arial" w:eastAsia="Times New Roman" w:hAnsi="Arial" w:cs="Arial"/>
          <w:color w:val="000000"/>
          <w:sz w:val="24"/>
          <w:szCs w:val="24"/>
        </w:rPr>
        <w:t>U. S. 582, 599 (1983) (opinion of White, J.); </w:t>
      </w:r>
      <w:r w:rsidRPr="007B2940">
        <w:rPr>
          <w:rFonts w:ascii="Arial" w:eastAsia="Times New Roman" w:hAnsi="Arial" w:cs="Arial"/>
          <w:i/>
          <w:iCs/>
          <w:color w:val="000000"/>
          <w:sz w:val="24"/>
          <w:szCs w:val="24"/>
        </w:rPr>
        <w:t>id., </w:t>
      </w:r>
      <w:r w:rsidRPr="007B2940">
        <w:rPr>
          <w:rFonts w:ascii="Arial" w:eastAsia="Times New Roman" w:hAnsi="Arial" w:cs="Arial"/>
          <w:color w:val="000000"/>
          <w:sz w:val="24"/>
          <w:szCs w:val="24"/>
        </w:rPr>
        <w:t>at 632-633 (Marshall, J., dissenting); </w:t>
      </w:r>
      <w:r w:rsidRPr="007B2940">
        <w:rPr>
          <w:rFonts w:ascii="Arial" w:eastAsia="Times New Roman" w:hAnsi="Arial" w:cs="Arial"/>
          <w:i/>
          <w:iCs/>
          <w:color w:val="000000"/>
          <w:sz w:val="24"/>
          <w:szCs w:val="24"/>
        </w:rPr>
        <w:t>Lau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Nichols, </w:t>
      </w:r>
      <w:hyperlink r:id="rId13" w:history="1">
        <w:r w:rsidRPr="007B2940">
          <w:rPr>
            <w:rFonts w:ascii="Arial" w:eastAsia="Times New Roman" w:hAnsi="Arial" w:cs="Arial"/>
            <w:color w:val="06357A"/>
            <w:sz w:val="24"/>
            <w:szCs w:val="24"/>
          </w:rPr>
          <w:t>414 U. S. 563</w:t>
        </w:r>
      </w:hyperlink>
      <w:r w:rsidRPr="007B2940">
        <w:rPr>
          <w:rFonts w:ascii="Arial" w:eastAsia="Times New Roman" w:hAnsi="Arial" w:cs="Arial"/>
          <w:color w:val="000000"/>
          <w:sz w:val="24"/>
          <w:szCs w:val="24"/>
        </w:rPr>
        <w:t>, 568569 (1974). Just as a valid contract requires offer and acceptance of its terms, "[t]he legitimacy of Congress' power to legislate under the spending power ... rests on whether the [recipient] voluntarily and knowingly accepts the terms of the 'contract.' ... Accordingly, if Congress intends to impose a condition on the grant of federal moneys, it must do so unambiguously." </w:t>
      </w:r>
      <w:r w:rsidRPr="007B2940">
        <w:rPr>
          <w:rFonts w:ascii="Arial" w:eastAsia="Times New Roman" w:hAnsi="Arial" w:cs="Arial"/>
          <w:i/>
          <w:iCs/>
          <w:color w:val="000000"/>
          <w:sz w:val="24"/>
          <w:szCs w:val="24"/>
        </w:rPr>
        <w:t>Pennhurst, supra, </w:t>
      </w:r>
      <w:r w:rsidRPr="007B2940">
        <w:rPr>
          <w:rFonts w:ascii="Arial" w:eastAsia="Times New Roman" w:hAnsi="Arial" w:cs="Arial"/>
          <w:color w:val="000000"/>
          <w:sz w:val="24"/>
          <w:szCs w:val="24"/>
        </w:rPr>
        <w:t>at 17; see also </w:t>
      </w:r>
      <w:r w:rsidRPr="007B2940">
        <w:rPr>
          <w:rFonts w:ascii="Arial" w:eastAsia="Times New Roman" w:hAnsi="Arial" w:cs="Arial"/>
          <w:i/>
          <w:iCs/>
          <w:color w:val="000000"/>
          <w:sz w:val="24"/>
          <w:szCs w:val="24"/>
        </w:rPr>
        <w:t>Davis, supra, </w:t>
      </w:r>
      <w:r w:rsidRPr="007B2940">
        <w:rPr>
          <w:rFonts w:ascii="Arial" w:eastAsia="Times New Roman" w:hAnsi="Arial" w:cs="Arial"/>
          <w:color w:val="000000"/>
          <w:sz w:val="24"/>
          <w:szCs w:val="24"/>
        </w:rPr>
        <w:t>at 640; </w:t>
      </w:r>
      <w:proofErr w:type="spellStart"/>
      <w:r w:rsidRPr="007B2940">
        <w:rPr>
          <w:rFonts w:ascii="Arial" w:eastAsia="Times New Roman" w:hAnsi="Arial" w:cs="Arial"/>
          <w:i/>
          <w:iCs/>
          <w:color w:val="000000"/>
          <w:sz w:val="24"/>
          <w:szCs w:val="24"/>
        </w:rPr>
        <w:t>Gebser</w:t>
      </w:r>
      <w:proofErr w:type="spellEnd"/>
      <w:r w:rsidRPr="007B2940">
        <w:rPr>
          <w:rFonts w:ascii="Arial" w:eastAsia="Times New Roman" w:hAnsi="Arial" w:cs="Arial"/>
          <w:i/>
          <w:iCs/>
          <w:color w:val="000000"/>
          <w:sz w:val="24"/>
          <w:szCs w:val="24"/>
        </w:rPr>
        <w:t>, supra, </w:t>
      </w:r>
      <w:r w:rsidRPr="007B2940">
        <w:rPr>
          <w:rFonts w:ascii="Arial" w:eastAsia="Times New Roman" w:hAnsi="Arial" w:cs="Arial"/>
          <w:color w:val="000000"/>
          <w:sz w:val="24"/>
          <w:szCs w:val="24"/>
        </w:rPr>
        <w:t>at 287; </w:t>
      </w:r>
      <w:r w:rsidRPr="007B2940">
        <w:rPr>
          <w:rFonts w:ascii="Arial" w:eastAsia="Times New Roman" w:hAnsi="Arial" w:cs="Arial"/>
          <w:i/>
          <w:iCs/>
          <w:color w:val="000000"/>
          <w:sz w:val="24"/>
          <w:szCs w:val="24"/>
        </w:rPr>
        <w:t>Franklin, </w:t>
      </w:r>
      <w:r w:rsidRPr="007B2940">
        <w:rPr>
          <w:rFonts w:ascii="Arial" w:eastAsia="Times New Roman" w:hAnsi="Arial" w:cs="Arial"/>
          <w:color w:val="000000"/>
          <w:sz w:val="24"/>
          <w:szCs w:val="24"/>
        </w:rPr>
        <w:t>503 U. S., at 74. Although we have been careful not to imply that </w:t>
      </w:r>
      <w:r w:rsidRPr="007B2940">
        <w:rPr>
          <w:rFonts w:ascii="Arial" w:eastAsia="Times New Roman" w:hAnsi="Arial" w:cs="Arial"/>
          <w:i/>
          <w:iCs/>
          <w:color w:val="000000"/>
          <w:sz w:val="24"/>
          <w:szCs w:val="24"/>
        </w:rPr>
        <w:t>all </w:t>
      </w:r>
      <w:r w:rsidRPr="007B2940">
        <w:rPr>
          <w:rFonts w:ascii="Arial" w:eastAsia="Times New Roman" w:hAnsi="Arial" w:cs="Arial"/>
          <w:color w:val="000000"/>
          <w:sz w:val="24"/>
          <w:szCs w:val="24"/>
        </w:rPr>
        <w:t>contract-law rules apply to Spending Clause legislation, see, </w:t>
      </w:r>
      <w:r w:rsidRPr="007B2940">
        <w:rPr>
          <w:rFonts w:ascii="Arial" w:eastAsia="Times New Roman" w:hAnsi="Arial" w:cs="Arial"/>
          <w:i/>
          <w:iCs/>
          <w:color w:val="000000"/>
          <w:sz w:val="24"/>
          <w:szCs w:val="24"/>
        </w:rPr>
        <w:t>e. g., Bennett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Kentucky Dept. of Ed., </w:t>
      </w:r>
      <w:hyperlink r:id="rId14" w:history="1">
        <w:r w:rsidRPr="007B2940">
          <w:rPr>
            <w:rFonts w:ascii="Arial" w:eastAsia="Times New Roman" w:hAnsi="Arial" w:cs="Arial"/>
            <w:color w:val="06357A"/>
            <w:sz w:val="24"/>
            <w:szCs w:val="24"/>
          </w:rPr>
          <w:t>470 U. S. 656</w:t>
        </w:r>
      </w:hyperlink>
      <w:r w:rsidRPr="007B2940">
        <w:rPr>
          <w:rFonts w:ascii="Arial" w:eastAsia="Times New Roman" w:hAnsi="Arial" w:cs="Arial"/>
          <w:color w:val="000000"/>
          <w:sz w:val="24"/>
          <w:szCs w:val="24"/>
        </w:rPr>
        <w:t>, 669 (1985) (Title I), we have regularly applied the contract-law analogy in cases defining the scope of conduct for which funding recipients may be held liable for money damages. Thus,</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IJUSTICE STEVENS believes that our reliance on </w:t>
      </w:r>
      <w:r w:rsidRPr="007B2940">
        <w:rPr>
          <w:rFonts w:ascii="Arial" w:eastAsia="Times New Roman" w:hAnsi="Arial" w:cs="Arial"/>
          <w:i/>
          <w:iCs/>
          <w:color w:val="000000"/>
          <w:sz w:val="24"/>
          <w:szCs w:val="24"/>
        </w:rPr>
        <w:t>Pennhurst </w:t>
      </w:r>
      <w:r w:rsidRPr="007B2940">
        <w:rPr>
          <w:rFonts w:ascii="Arial" w:eastAsia="Times New Roman" w:hAnsi="Arial" w:cs="Arial"/>
          <w:color w:val="000000"/>
          <w:sz w:val="24"/>
          <w:szCs w:val="24"/>
        </w:rPr>
        <w:t>is "inappropriate" because that case addressed legislation imposing affirmative obligations on recipients whereas Title VI "simply prohibit[s] certain discriminatory conduct." </w:t>
      </w:r>
      <w:r w:rsidRPr="007B2940">
        <w:rPr>
          <w:rFonts w:ascii="Arial" w:eastAsia="Times New Roman" w:hAnsi="Arial" w:cs="Arial"/>
          <w:i/>
          <w:iCs/>
          <w:color w:val="000000"/>
          <w:sz w:val="24"/>
          <w:szCs w:val="24"/>
        </w:rPr>
        <w:t>Post, </w:t>
      </w:r>
      <w:r w:rsidRPr="007B2940">
        <w:rPr>
          <w:rFonts w:ascii="Arial" w:eastAsia="Times New Roman" w:hAnsi="Arial" w:cs="Arial"/>
          <w:color w:val="000000"/>
          <w:sz w:val="24"/>
          <w:szCs w:val="24"/>
        </w:rPr>
        <w:t>at 192 (opinion concurring in judgment). He does not explain why he thinks this distinction-which played no role in the Court's application of contract-law principles in </w:t>
      </w:r>
      <w:r w:rsidRPr="007B2940">
        <w:rPr>
          <w:rFonts w:ascii="Arial" w:eastAsia="Times New Roman" w:hAnsi="Arial" w:cs="Arial"/>
          <w:i/>
          <w:iCs/>
          <w:color w:val="000000"/>
          <w:sz w:val="24"/>
          <w:szCs w:val="24"/>
        </w:rPr>
        <w:t>Pennhurst, </w:t>
      </w:r>
      <w:r w:rsidRPr="007B2940">
        <w:rPr>
          <w:rFonts w:ascii="Arial" w:eastAsia="Times New Roman" w:hAnsi="Arial" w:cs="Arial"/>
          <w:color w:val="000000"/>
          <w:sz w:val="24"/>
          <w:szCs w:val="24"/>
        </w:rPr>
        <w:t>451 U. S., at 24-25-ought to make a difference. Whatever his reason, we have regularly applied </w:t>
      </w:r>
      <w:r w:rsidRPr="007B2940">
        <w:rPr>
          <w:rFonts w:ascii="Arial" w:eastAsia="Times New Roman" w:hAnsi="Arial" w:cs="Arial"/>
          <w:i/>
          <w:iCs/>
          <w:color w:val="000000"/>
          <w:sz w:val="24"/>
          <w:szCs w:val="24"/>
        </w:rPr>
        <w:t>Pennhurst's </w:t>
      </w:r>
      <w:r w:rsidRPr="007B2940">
        <w:rPr>
          <w:rFonts w:ascii="Arial" w:eastAsia="Times New Roman" w:hAnsi="Arial" w:cs="Arial"/>
          <w:color w:val="000000"/>
          <w:sz w:val="24"/>
          <w:szCs w:val="24"/>
        </w:rPr>
        <w:t>contract analogy to legislation that "simply prohibit[s] certain discriminatory conduct." See, </w:t>
      </w:r>
      <w:r w:rsidRPr="007B2940">
        <w:rPr>
          <w:rFonts w:ascii="Arial" w:eastAsia="Times New Roman" w:hAnsi="Arial" w:cs="Arial"/>
          <w:i/>
          <w:iCs/>
          <w:color w:val="000000"/>
          <w:sz w:val="24"/>
          <w:szCs w:val="24"/>
        </w:rPr>
        <w:t>e. g., Davis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Monroe County Bd. of Ed., </w:t>
      </w:r>
      <w:hyperlink r:id="rId15" w:history="1">
        <w:r w:rsidRPr="007B2940">
          <w:rPr>
            <w:rFonts w:ascii="Arial" w:eastAsia="Times New Roman" w:hAnsi="Arial" w:cs="Arial"/>
            <w:color w:val="06357A"/>
            <w:sz w:val="24"/>
            <w:szCs w:val="24"/>
          </w:rPr>
          <w:t>526 U. S. 629</w:t>
        </w:r>
      </w:hyperlink>
      <w:r w:rsidRPr="007B2940">
        <w:rPr>
          <w:rFonts w:ascii="Arial" w:eastAsia="Times New Roman" w:hAnsi="Arial" w:cs="Arial"/>
          <w:color w:val="000000"/>
          <w:sz w:val="24"/>
          <w:szCs w:val="24"/>
        </w:rPr>
        <w:t>, 640 (1999) (Title IX); </w:t>
      </w:r>
      <w:proofErr w:type="spellStart"/>
      <w:r w:rsidRPr="007B2940">
        <w:rPr>
          <w:rFonts w:ascii="Arial" w:eastAsia="Times New Roman" w:hAnsi="Arial" w:cs="Arial"/>
          <w:i/>
          <w:iCs/>
          <w:color w:val="000000"/>
          <w:sz w:val="24"/>
          <w:szCs w:val="24"/>
        </w:rPr>
        <w:t>Gebser</w:t>
      </w:r>
      <w:proofErr w:type="spellEnd"/>
      <w:r w:rsidRPr="007B2940">
        <w:rPr>
          <w:rFonts w:ascii="Arial" w:eastAsia="Times New Roman" w:hAnsi="Arial" w:cs="Arial"/>
          <w:i/>
          <w:iCs/>
          <w:color w:val="000000"/>
          <w:sz w:val="24"/>
          <w:szCs w:val="24"/>
        </w:rPr>
        <w:t>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Lago Vista Independent School Dist., </w:t>
      </w:r>
      <w:hyperlink r:id="rId16" w:history="1">
        <w:r w:rsidRPr="007B2940">
          <w:rPr>
            <w:rFonts w:ascii="Arial" w:eastAsia="Times New Roman" w:hAnsi="Arial" w:cs="Arial"/>
            <w:color w:val="06357A"/>
            <w:sz w:val="24"/>
            <w:szCs w:val="24"/>
          </w:rPr>
          <w:t>524 U. S. 274</w:t>
        </w:r>
      </w:hyperlink>
      <w:r w:rsidRPr="007B2940">
        <w:rPr>
          <w:rFonts w:ascii="Arial" w:eastAsia="Times New Roman" w:hAnsi="Arial" w:cs="Arial"/>
          <w:color w:val="000000"/>
          <w:sz w:val="24"/>
          <w:szCs w:val="24"/>
        </w:rPr>
        <w:t>, 287 (1998) (same).</w:t>
      </w:r>
    </w:p>
    <w:p w:rsidR="007B2940" w:rsidRPr="007B2940" w:rsidRDefault="006F3090" w:rsidP="007B294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6F3090">
        <w:rPr>
          <w:rFonts w:ascii="Times New Roman" w:eastAsia="Times New Roman" w:hAnsi="Times New Roman" w:cs="Times New Roman"/>
          <w:noProof/>
          <w:sz w:val="24"/>
          <w:szCs w:val="24"/>
        </w:rPr>
        <w:pict>
          <v:rect id="_x0000_i1030" style="width:0;height:0" o:hrstd="t" o:hrnoshade="t" o:hr="t" fillcolor="black" stroked="f"/>
        </w:pic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bookmarkStart w:id="5" w:name="187"/>
      <w:r w:rsidRPr="007B2940">
        <w:rPr>
          <w:rFonts w:ascii="Arial" w:eastAsia="Times New Roman" w:hAnsi="Arial" w:cs="Arial"/>
          <w:color w:val="06357A"/>
          <w:sz w:val="24"/>
          <w:szCs w:val="24"/>
        </w:rPr>
        <w:t>187</w:t>
      </w:r>
      <w:bookmarkEnd w:id="5"/>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lastRenderedPageBreak/>
        <w:t>a recipient may be held liable to third-party beneficiaries for intentional conduct that violates the clear terms of the relevant statute, </w:t>
      </w:r>
      <w:r w:rsidRPr="007B2940">
        <w:rPr>
          <w:rFonts w:ascii="Arial" w:eastAsia="Times New Roman" w:hAnsi="Arial" w:cs="Arial"/>
          <w:i/>
          <w:iCs/>
          <w:color w:val="000000"/>
          <w:sz w:val="24"/>
          <w:szCs w:val="24"/>
        </w:rPr>
        <w:t>Davis, supra, </w:t>
      </w:r>
      <w:r w:rsidRPr="007B2940">
        <w:rPr>
          <w:rFonts w:ascii="Arial" w:eastAsia="Times New Roman" w:hAnsi="Arial" w:cs="Arial"/>
          <w:color w:val="000000"/>
          <w:sz w:val="24"/>
          <w:szCs w:val="24"/>
        </w:rPr>
        <w:t>at 642, but not for its failure to comply with vague language describing the objectives of the statute, </w:t>
      </w:r>
      <w:r w:rsidRPr="007B2940">
        <w:rPr>
          <w:rFonts w:ascii="Arial" w:eastAsia="Times New Roman" w:hAnsi="Arial" w:cs="Arial"/>
          <w:i/>
          <w:iCs/>
          <w:color w:val="000000"/>
          <w:sz w:val="24"/>
          <w:szCs w:val="24"/>
        </w:rPr>
        <w:t>Pennhurst, supra, </w:t>
      </w:r>
      <w:r w:rsidRPr="007B2940">
        <w:rPr>
          <w:rFonts w:ascii="Arial" w:eastAsia="Times New Roman" w:hAnsi="Arial" w:cs="Arial"/>
          <w:color w:val="000000"/>
          <w:sz w:val="24"/>
          <w:szCs w:val="24"/>
        </w:rPr>
        <w:t>at 24-25; and, if the statute implies that only violations brought to the attention of an official with power to correct them are actionable, not for conduct unknown to any such official, see </w:t>
      </w:r>
      <w:proofErr w:type="spellStart"/>
      <w:r w:rsidRPr="007B2940">
        <w:rPr>
          <w:rFonts w:ascii="Arial" w:eastAsia="Times New Roman" w:hAnsi="Arial" w:cs="Arial"/>
          <w:i/>
          <w:iCs/>
          <w:color w:val="000000"/>
          <w:sz w:val="24"/>
          <w:szCs w:val="24"/>
        </w:rPr>
        <w:t>Gebser</w:t>
      </w:r>
      <w:proofErr w:type="spellEnd"/>
      <w:r w:rsidRPr="007B2940">
        <w:rPr>
          <w:rFonts w:ascii="Arial" w:eastAsia="Times New Roman" w:hAnsi="Arial" w:cs="Arial"/>
          <w:i/>
          <w:iCs/>
          <w:color w:val="000000"/>
          <w:sz w:val="24"/>
          <w:szCs w:val="24"/>
        </w:rPr>
        <w:t>, supra, </w:t>
      </w:r>
      <w:r w:rsidRPr="007B2940">
        <w:rPr>
          <w:rFonts w:ascii="Arial" w:eastAsia="Times New Roman" w:hAnsi="Arial" w:cs="Arial"/>
          <w:color w:val="000000"/>
          <w:sz w:val="24"/>
          <w:szCs w:val="24"/>
        </w:rPr>
        <w:t>at 290. We have also applied the contract-law analogy in finding a damages remedy available in private suits under Spending Clause legislation. </w:t>
      </w:r>
      <w:r w:rsidRPr="007B2940">
        <w:rPr>
          <w:rFonts w:ascii="Arial" w:eastAsia="Times New Roman" w:hAnsi="Arial" w:cs="Arial"/>
          <w:i/>
          <w:iCs/>
          <w:color w:val="000000"/>
          <w:sz w:val="24"/>
          <w:szCs w:val="24"/>
        </w:rPr>
        <w:t>Franklin, supra, </w:t>
      </w:r>
      <w:r w:rsidRPr="007B2940">
        <w:rPr>
          <w:rFonts w:ascii="Arial" w:eastAsia="Times New Roman" w:hAnsi="Arial" w:cs="Arial"/>
          <w:color w:val="000000"/>
          <w:sz w:val="24"/>
          <w:szCs w:val="24"/>
        </w:rPr>
        <w:t>at 74-75.</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The same analogy applies, we think, in determining the </w:t>
      </w:r>
      <w:r w:rsidRPr="007B2940">
        <w:rPr>
          <w:rFonts w:ascii="Arial" w:eastAsia="Times New Roman" w:hAnsi="Arial" w:cs="Arial"/>
          <w:i/>
          <w:iCs/>
          <w:color w:val="000000"/>
          <w:sz w:val="24"/>
          <w:szCs w:val="24"/>
        </w:rPr>
        <w:t>scope </w:t>
      </w:r>
      <w:r w:rsidRPr="007B2940">
        <w:rPr>
          <w:rFonts w:ascii="Arial" w:eastAsia="Times New Roman" w:hAnsi="Arial" w:cs="Arial"/>
          <w:color w:val="000000"/>
          <w:sz w:val="24"/>
          <w:szCs w:val="24"/>
        </w:rPr>
        <w:t>of damages remedies. We said as much in </w:t>
      </w:r>
      <w:proofErr w:type="spellStart"/>
      <w:r w:rsidRPr="007B2940">
        <w:rPr>
          <w:rFonts w:ascii="Arial" w:eastAsia="Times New Roman" w:hAnsi="Arial" w:cs="Arial"/>
          <w:i/>
          <w:iCs/>
          <w:color w:val="000000"/>
          <w:sz w:val="24"/>
          <w:szCs w:val="24"/>
        </w:rPr>
        <w:t>Gebser</w:t>
      </w:r>
      <w:proofErr w:type="spellEnd"/>
      <w:r w:rsidRPr="007B2940">
        <w:rPr>
          <w:rFonts w:ascii="Arial" w:eastAsia="Times New Roman" w:hAnsi="Arial" w:cs="Arial"/>
          <w:i/>
          <w:iCs/>
          <w:color w:val="000000"/>
          <w:sz w:val="24"/>
          <w:szCs w:val="24"/>
        </w:rPr>
        <w:t>:</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"Title IX's contractual nature has implications for our construction of the scope of available remedies." 524 U. S., at 287. One of these implications, we believe, is that a remedy is "appropriate relief," </w:t>
      </w:r>
      <w:r w:rsidRPr="007B2940">
        <w:rPr>
          <w:rFonts w:ascii="Arial" w:eastAsia="Times New Roman" w:hAnsi="Arial" w:cs="Arial"/>
          <w:i/>
          <w:iCs/>
          <w:color w:val="000000"/>
          <w:sz w:val="24"/>
          <w:szCs w:val="24"/>
        </w:rPr>
        <w:t>Franklin, </w:t>
      </w:r>
      <w:r w:rsidRPr="007B2940">
        <w:rPr>
          <w:rFonts w:ascii="Arial" w:eastAsia="Times New Roman" w:hAnsi="Arial" w:cs="Arial"/>
          <w:color w:val="000000"/>
          <w:sz w:val="24"/>
          <w:szCs w:val="24"/>
        </w:rPr>
        <w:t>503 U. S., at 73, only if the funding recipient is </w:t>
      </w:r>
      <w:r w:rsidRPr="007B2940">
        <w:rPr>
          <w:rFonts w:ascii="Arial" w:eastAsia="Times New Roman" w:hAnsi="Arial" w:cs="Arial"/>
          <w:i/>
          <w:iCs/>
          <w:color w:val="000000"/>
          <w:sz w:val="24"/>
          <w:szCs w:val="24"/>
        </w:rPr>
        <w:t>on notice </w:t>
      </w:r>
      <w:r w:rsidRPr="007B2940">
        <w:rPr>
          <w:rFonts w:ascii="Arial" w:eastAsia="Times New Roman" w:hAnsi="Arial" w:cs="Arial"/>
          <w:color w:val="000000"/>
          <w:sz w:val="24"/>
          <w:szCs w:val="24"/>
        </w:rPr>
        <w:t>that, by accepting federal funding, it exposes itself to liability of that nature. A funding recipient is generally on notice that it is subject not only to those remedies explicitly provided in the relevant legislation, but also to those remedies traditionally available in suits for breach of contract. Thus we have held that under Title IX, which contains no express remedies, a recipient of federal funds is nevertheless subject to suit for compensatory damages, </w:t>
      </w:r>
      <w:r w:rsidRPr="007B2940">
        <w:rPr>
          <w:rFonts w:ascii="Arial" w:eastAsia="Times New Roman" w:hAnsi="Arial" w:cs="Arial"/>
          <w:i/>
          <w:iCs/>
          <w:color w:val="000000"/>
          <w:sz w:val="24"/>
          <w:szCs w:val="24"/>
        </w:rPr>
        <w:t>id., </w:t>
      </w:r>
      <w:r w:rsidRPr="007B2940">
        <w:rPr>
          <w:rFonts w:ascii="Arial" w:eastAsia="Times New Roman" w:hAnsi="Arial" w:cs="Arial"/>
          <w:color w:val="000000"/>
          <w:sz w:val="24"/>
          <w:szCs w:val="24"/>
        </w:rPr>
        <w:t>at 76, and injunction, </w:t>
      </w:r>
      <w:r w:rsidRPr="007B2940">
        <w:rPr>
          <w:rFonts w:ascii="Arial" w:eastAsia="Times New Roman" w:hAnsi="Arial" w:cs="Arial"/>
          <w:i/>
          <w:iCs/>
          <w:color w:val="000000"/>
          <w:sz w:val="24"/>
          <w:szCs w:val="24"/>
        </w:rPr>
        <w:t>Cannon, supra, </w:t>
      </w:r>
      <w:r w:rsidRPr="007B2940">
        <w:rPr>
          <w:rFonts w:ascii="Arial" w:eastAsia="Times New Roman" w:hAnsi="Arial" w:cs="Arial"/>
          <w:color w:val="000000"/>
          <w:sz w:val="24"/>
          <w:szCs w:val="24"/>
        </w:rPr>
        <w:t>at 711-712, forms of relief traditionally available in suits for breach of contract. See, </w:t>
      </w:r>
      <w:r w:rsidRPr="007B2940">
        <w:rPr>
          <w:rFonts w:ascii="Arial" w:eastAsia="Times New Roman" w:hAnsi="Arial" w:cs="Arial"/>
          <w:i/>
          <w:iCs/>
          <w:color w:val="000000"/>
          <w:sz w:val="24"/>
          <w:szCs w:val="24"/>
        </w:rPr>
        <w:t>e. g., </w:t>
      </w:r>
      <w:r w:rsidRPr="007B2940">
        <w:rPr>
          <w:rFonts w:ascii="Arial" w:eastAsia="Times New Roman" w:hAnsi="Arial" w:cs="Arial"/>
          <w:color w:val="000000"/>
          <w:sz w:val="24"/>
          <w:szCs w:val="24"/>
        </w:rPr>
        <w:t>Restatement (Second) of Contracts § 357 (1981); 3 S. Williston, Law of Contracts §§ 1445-1450 (1920); J. Pomeroy, A Treatise on the Specific Performance of Contracts 1-5 (1879). Like Title IX, Title VI mentions no remedies-indeed, it fails to mention even a private right of action (hence this Court's decision finding an </w:t>
      </w:r>
      <w:r w:rsidRPr="007B2940">
        <w:rPr>
          <w:rFonts w:ascii="Arial" w:eastAsia="Times New Roman" w:hAnsi="Arial" w:cs="Arial"/>
          <w:i/>
          <w:iCs/>
          <w:color w:val="000000"/>
          <w:sz w:val="24"/>
          <w:szCs w:val="24"/>
        </w:rPr>
        <w:t>implied </w:t>
      </w:r>
      <w:r w:rsidRPr="007B2940">
        <w:rPr>
          <w:rFonts w:ascii="Arial" w:eastAsia="Times New Roman" w:hAnsi="Arial" w:cs="Arial"/>
          <w:color w:val="000000"/>
          <w:sz w:val="24"/>
          <w:szCs w:val="24"/>
        </w:rPr>
        <w:t>right of action in </w:t>
      </w:r>
      <w:r w:rsidRPr="007B2940">
        <w:rPr>
          <w:rFonts w:ascii="Arial" w:eastAsia="Times New Roman" w:hAnsi="Arial" w:cs="Arial"/>
          <w:i/>
          <w:iCs/>
          <w:color w:val="000000"/>
          <w:sz w:val="24"/>
          <w:szCs w:val="24"/>
        </w:rPr>
        <w:t>Cannon). </w:t>
      </w:r>
      <w:r w:rsidRPr="007B2940">
        <w:rPr>
          <w:rFonts w:ascii="Arial" w:eastAsia="Times New Roman" w:hAnsi="Arial" w:cs="Arial"/>
          <w:color w:val="000000"/>
          <w:sz w:val="24"/>
          <w:szCs w:val="24"/>
        </w:rPr>
        <w:t>But punitive damages, unlike compensatory damages and injunction, are generally not available for breach of contract, see 3 E. Farnsworth, Contracts § 12.8,</w:t>
      </w:r>
    </w:p>
    <w:p w:rsidR="007B2940" w:rsidRPr="007B2940" w:rsidRDefault="006F3090" w:rsidP="007B294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6F3090">
        <w:rPr>
          <w:rFonts w:ascii="Times New Roman" w:eastAsia="Times New Roman" w:hAnsi="Times New Roman" w:cs="Times New Roman"/>
          <w:noProof/>
          <w:sz w:val="24"/>
          <w:szCs w:val="24"/>
        </w:rPr>
        <w:pict>
          <v:rect id="_x0000_i1031" style="width:0;height:0" o:hrstd="t" o:hrnoshade="t" o:hr="t" fillcolor="black" stroked="f"/>
        </w:pic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bookmarkStart w:id="6" w:name="188"/>
      <w:r w:rsidRPr="007B2940">
        <w:rPr>
          <w:rFonts w:ascii="Arial" w:eastAsia="Times New Roman" w:hAnsi="Arial" w:cs="Arial"/>
          <w:color w:val="06357A"/>
          <w:sz w:val="24"/>
          <w:szCs w:val="24"/>
        </w:rPr>
        <w:t>188</w:t>
      </w:r>
      <w:bookmarkEnd w:id="6"/>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pp. 192-201 (2d ed. 1998); Restatement (Second) of Contracts § 355; 1 T. Sedgwick, Measure of Damages § 370 (8th ed. 1891).</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Nor (if such an interpretive technique were available) could an </w:t>
      </w:r>
      <w:r w:rsidRPr="007B2940">
        <w:rPr>
          <w:rFonts w:ascii="Arial" w:eastAsia="Times New Roman" w:hAnsi="Arial" w:cs="Arial"/>
          <w:i/>
          <w:iCs/>
          <w:color w:val="000000"/>
          <w:sz w:val="24"/>
          <w:szCs w:val="24"/>
        </w:rPr>
        <w:t>implied </w:t>
      </w:r>
      <w:r w:rsidRPr="007B2940">
        <w:rPr>
          <w:rFonts w:ascii="Arial" w:eastAsia="Times New Roman" w:hAnsi="Arial" w:cs="Arial"/>
          <w:color w:val="000000"/>
          <w:sz w:val="24"/>
          <w:szCs w:val="24"/>
        </w:rPr>
        <w:t>punitive damages provision reasonably be found in Title VI. Some authorities say that reasonably implied contractual terms are those that the parties would have agreed to if they had adverted to the matters in question. See 2 Farnsworth, </w:t>
      </w:r>
      <w:r w:rsidRPr="007B2940">
        <w:rPr>
          <w:rFonts w:ascii="Arial" w:eastAsia="Times New Roman" w:hAnsi="Arial" w:cs="Arial"/>
          <w:i/>
          <w:iCs/>
          <w:color w:val="000000"/>
          <w:sz w:val="24"/>
          <w:szCs w:val="24"/>
        </w:rPr>
        <w:t>supra, </w:t>
      </w:r>
      <w:r w:rsidRPr="007B2940">
        <w:rPr>
          <w:rFonts w:ascii="Arial" w:eastAsia="Times New Roman" w:hAnsi="Arial" w:cs="Arial"/>
          <w:color w:val="000000"/>
          <w:sz w:val="24"/>
          <w:szCs w:val="24"/>
        </w:rPr>
        <w:t>§ 7.16, at 335, and authorities cited. More recent commentary suggests that reasonably implied contractual terms are simply those that "</w:t>
      </w:r>
      <w:proofErr w:type="spellStart"/>
      <w:r w:rsidRPr="007B2940">
        <w:rPr>
          <w:rFonts w:ascii="Arial" w:eastAsia="Times New Roman" w:hAnsi="Arial" w:cs="Arial"/>
          <w:color w:val="000000"/>
          <w:sz w:val="24"/>
          <w:szCs w:val="24"/>
        </w:rPr>
        <w:t>compor</w:t>
      </w:r>
      <w:proofErr w:type="spellEnd"/>
      <w:r w:rsidRPr="007B2940">
        <w:rPr>
          <w:rFonts w:ascii="Arial" w:eastAsia="Times New Roman" w:hAnsi="Arial" w:cs="Arial"/>
          <w:color w:val="000000"/>
          <w:sz w:val="24"/>
          <w:szCs w:val="24"/>
        </w:rPr>
        <w:t>[t] with community standards of fairness," Restatement (Second) of Contracts, </w:t>
      </w:r>
      <w:r w:rsidRPr="007B2940">
        <w:rPr>
          <w:rFonts w:ascii="Arial" w:eastAsia="Times New Roman" w:hAnsi="Arial" w:cs="Arial"/>
          <w:i/>
          <w:iCs/>
          <w:color w:val="000000"/>
          <w:sz w:val="24"/>
          <w:szCs w:val="24"/>
        </w:rPr>
        <w:t>supra, </w:t>
      </w:r>
      <w:r w:rsidRPr="007B2940">
        <w:rPr>
          <w:rFonts w:ascii="Arial" w:eastAsia="Times New Roman" w:hAnsi="Arial" w:cs="Arial"/>
          <w:color w:val="000000"/>
          <w:sz w:val="24"/>
          <w:szCs w:val="24"/>
        </w:rPr>
        <w:t>§ 204, Comment </w:t>
      </w:r>
      <w:r w:rsidRPr="007B2940">
        <w:rPr>
          <w:rFonts w:ascii="Arial" w:eastAsia="Times New Roman" w:hAnsi="Arial" w:cs="Arial"/>
          <w:i/>
          <w:iCs/>
          <w:color w:val="000000"/>
          <w:sz w:val="24"/>
          <w:szCs w:val="24"/>
        </w:rPr>
        <w:t>d; </w:t>
      </w:r>
      <w:r w:rsidRPr="007B2940">
        <w:rPr>
          <w:rFonts w:ascii="Arial" w:eastAsia="Times New Roman" w:hAnsi="Arial" w:cs="Arial"/>
          <w:color w:val="000000"/>
          <w:sz w:val="24"/>
          <w:szCs w:val="24"/>
        </w:rPr>
        <w:t>see also 2 Farnsworth, </w:t>
      </w:r>
      <w:r w:rsidRPr="007B2940">
        <w:rPr>
          <w:rFonts w:ascii="Arial" w:eastAsia="Times New Roman" w:hAnsi="Arial" w:cs="Arial"/>
          <w:i/>
          <w:iCs/>
          <w:color w:val="000000"/>
          <w:sz w:val="24"/>
          <w:szCs w:val="24"/>
        </w:rPr>
        <w:t>supra, </w:t>
      </w:r>
      <w:r w:rsidRPr="007B2940">
        <w:rPr>
          <w:rFonts w:ascii="Arial" w:eastAsia="Times New Roman" w:hAnsi="Arial" w:cs="Arial"/>
          <w:color w:val="000000"/>
          <w:sz w:val="24"/>
          <w:szCs w:val="24"/>
        </w:rPr>
        <w:t xml:space="preserve">§ 7.16, at 334-336. Neither approach would support the implication here of a remedy that is not normally available for contract actions and that is of indeterminate magnitude. We have acknowledged that compensatory damages alone "might well exceed a recipient's level </w:t>
      </w:r>
      <w:r w:rsidRPr="007B2940">
        <w:rPr>
          <w:rFonts w:ascii="Arial" w:eastAsia="Times New Roman" w:hAnsi="Arial" w:cs="Arial"/>
          <w:color w:val="000000"/>
          <w:sz w:val="24"/>
          <w:szCs w:val="24"/>
        </w:rPr>
        <w:lastRenderedPageBreak/>
        <w:t>of federal funding," </w:t>
      </w:r>
      <w:proofErr w:type="spellStart"/>
      <w:r w:rsidRPr="007B2940">
        <w:rPr>
          <w:rFonts w:ascii="Arial" w:eastAsia="Times New Roman" w:hAnsi="Arial" w:cs="Arial"/>
          <w:i/>
          <w:iCs/>
          <w:color w:val="000000"/>
          <w:sz w:val="24"/>
          <w:szCs w:val="24"/>
        </w:rPr>
        <w:t>Gebser</w:t>
      </w:r>
      <w:proofErr w:type="spellEnd"/>
      <w:r w:rsidRPr="007B2940">
        <w:rPr>
          <w:rFonts w:ascii="Arial" w:eastAsia="Times New Roman" w:hAnsi="Arial" w:cs="Arial"/>
          <w:i/>
          <w:iCs/>
          <w:color w:val="000000"/>
          <w:sz w:val="24"/>
          <w:szCs w:val="24"/>
        </w:rPr>
        <w:t>, supra, </w:t>
      </w:r>
      <w:r w:rsidRPr="007B2940">
        <w:rPr>
          <w:rFonts w:ascii="Arial" w:eastAsia="Times New Roman" w:hAnsi="Arial" w:cs="Arial"/>
          <w:color w:val="000000"/>
          <w:sz w:val="24"/>
          <w:szCs w:val="24"/>
        </w:rPr>
        <w:t>at 290; punitive damages on top of that could well be disastrous. Not only is it doubtful that funding recipients would have agreed to exposure to such unorthodox and indeterminate liability; it is doubtful whether they would even have </w:t>
      </w:r>
      <w:r w:rsidRPr="007B2940">
        <w:rPr>
          <w:rFonts w:ascii="Arial" w:eastAsia="Times New Roman" w:hAnsi="Arial" w:cs="Arial"/>
          <w:i/>
          <w:iCs/>
          <w:color w:val="000000"/>
          <w:sz w:val="24"/>
          <w:szCs w:val="24"/>
        </w:rPr>
        <w:t>accepted the funding </w:t>
      </w:r>
      <w:r w:rsidRPr="007B2940">
        <w:rPr>
          <w:rFonts w:ascii="Arial" w:eastAsia="Times New Roman" w:hAnsi="Arial" w:cs="Arial"/>
          <w:color w:val="000000"/>
          <w:sz w:val="24"/>
          <w:szCs w:val="24"/>
        </w:rPr>
        <w:t>if punitive damages liability was a required condition. "Without doubt, the scope of potential damages liability is one of the most significant factors a school would consider in deciding whether to receive federal funds." </w:t>
      </w:r>
      <w:r w:rsidRPr="007B2940">
        <w:rPr>
          <w:rFonts w:ascii="Arial" w:eastAsia="Times New Roman" w:hAnsi="Arial" w:cs="Arial"/>
          <w:i/>
          <w:iCs/>
          <w:color w:val="000000"/>
          <w:sz w:val="24"/>
          <w:szCs w:val="24"/>
        </w:rPr>
        <w:t>Davis, supra, </w:t>
      </w:r>
      <w:r w:rsidRPr="007B2940">
        <w:rPr>
          <w:rFonts w:ascii="Arial" w:eastAsia="Times New Roman" w:hAnsi="Arial" w:cs="Arial"/>
          <w:color w:val="000000"/>
          <w:sz w:val="24"/>
          <w:szCs w:val="24"/>
        </w:rPr>
        <w:t>at 656 (KENNEDY, J., dissenting). And for the same reason of unusual and disproportionate exposure, it can hardly be said that community standards of fairness support such an implication. In sum, it must be concluded that Title VI funding recipients have not, merely by accepting funds, implicitly consented to liability for punitive damages.2</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2We cannot understand JUSTICE STEVENS' Chicken-Little statement that today's decision "has potentially far-reaching consequences that go well beyond the issues briefed and argued in this case." </w:t>
      </w:r>
      <w:r w:rsidRPr="007B2940">
        <w:rPr>
          <w:rFonts w:ascii="Arial" w:eastAsia="Times New Roman" w:hAnsi="Arial" w:cs="Arial"/>
          <w:i/>
          <w:iCs/>
          <w:color w:val="000000"/>
          <w:sz w:val="24"/>
          <w:szCs w:val="24"/>
        </w:rPr>
        <w:t>Post, </w:t>
      </w:r>
      <w:r w:rsidRPr="007B2940">
        <w:rPr>
          <w:rFonts w:ascii="Arial" w:eastAsia="Times New Roman" w:hAnsi="Arial" w:cs="Arial"/>
          <w:color w:val="000000"/>
          <w:sz w:val="24"/>
          <w:szCs w:val="24"/>
        </w:rPr>
        <w:t>at 192-193. Our decision merely applies a principle expressed and applied many times</w:t>
      </w:r>
    </w:p>
    <w:p w:rsidR="007B2940" w:rsidRPr="007B2940" w:rsidRDefault="006F3090" w:rsidP="007B294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6F3090">
        <w:rPr>
          <w:rFonts w:ascii="Times New Roman" w:eastAsia="Times New Roman" w:hAnsi="Times New Roman" w:cs="Times New Roman"/>
          <w:noProof/>
          <w:sz w:val="24"/>
          <w:szCs w:val="24"/>
        </w:rPr>
        <w:pict>
          <v:rect id="_x0000_i1032" style="width:0;height:0" o:hrstd="t" o:hrnoshade="t" o:hr="t" fillcolor="black" stroked="f"/>
        </w:pic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bookmarkStart w:id="7" w:name="189"/>
      <w:r w:rsidRPr="007B2940">
        <w:rPr>
          <w:rFonts w:ascii="Arial" w:eastAsia="Times New Roman" w:hAnsi="Arial" w:cs="Arial"/>
          <w:color w:val="06357A"/>
          <w:sz w:val="24"/>
          <w:szCs w:val="24"/>
        </w:rPr>
        <w:t>189</w:t>
      </w:r>
      <w:bookmarkEnd w:id="7"/>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Our conclusion is consistent with the "well settled" rule that "where legal rights have been invaded, and a federal statute provides for a general right to sue for such invasion, federal courts may use any available remedy to make good the wrong done." </w:t>
      </w:r>
      <w:r w:rsidRPr="007B2940">
        <w:rPr>
          <w:rFonts w:ascii="Arial" w:eastAsia="Times New Roman" w:hAnsi="Arial" w:cs="Arial"/>
          <w:i/>
          <w:iCs/>
          <w:color w:val="000000"/>
          <w:sz w:val="24"/>
          <w:szCs w:val="24"/>
        </w:rPr>
        <w:t>Bell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Hood, </w:t>
      </w:r>
      <w:hyperlink r:id="rId17" w:history="1">
        <w:r w:rsidRPr="007B2940">
          <w:rPr>
            <w:rFonts w:ascii="Arial" w:eastAsia="Times New Roman" w:hAnsi="Arial" w:cs="Arial"/>
            <w:color w:val="06357A"/>
            <w:sz w:val="24"/>
            <w:szCs w:val="24"/>
          </w:rPr>
          <w:t>327 U. S. 678</w:t>
        </w:r>
      </w:hyperlink>
      <w:r w:rsidRPr="007B2940">
        <w:rPr>
          <w:rFonts w:ascii="Arial" w:eastAsia="Times New Roman" w:hAnsi="Arial" w:cs="Arial"/>
          <w:color w:val="000000"/>
          <w:sz w:val="24"/>
          <w:szCs w:val="24"/>
        </w:rPr>
        <w:t>, 684 (1946); see also </w:t>
      </w:r>
      <w:r w:rsidRPr="007B2940">
        <w:rPr>
          <w:rFonts w:ascii="Arial" w:eastAsia="Times New Roman" w:hAnsi="Arial" w:cs="Arial"/>
          <w:i/>
          <w:iCs/>
          <w:color w:val="000000"/>
          <w:sz w:val="24"/>
          <w:szCs w:val="24"/>
        </w:rPr>
        <w:t>Franklin, supra, </w:t>
      </w:r>
      <w:r w:rsidRPr="007B2940">
        <w:rPr>
          <w:rFonts w:ascii="Arial" w:eastAsia="Times New Roman" w:hAnsi="Arial" w:cs="Arial"/>
          <w:color w:val="000000"/>
          <w:sz w:val="24"/>
          <w:szCs w:val="24"/>
        </w:rPr>
        <w:t>at 66. When a federal-funds recipient violates conditions of Spending Clause legislation, the wrong done is the failure to provide what the contractual obligation requires; and that wrong is "made good" when the recipient </w:t>
      </w:r>
      <w:r w:rsidRPr="007B2940">
        <w:rPr>
          <w:rFonts w:ascii="Arial" w:eastAsia="Times New Roman" w:hAnsi="Arial" w:cs="Arial"/>
          <w:i/>
          <w:iCs/>
          <w:color w:val="000000"/>
          <w:sz w:val="24"/>
          <w:szCs w:val="24"/>
        </w:rPr>
        <w:t>compensates </w:t>
      </w:r>
      <w:r w:rsidRPr="007B2940">
        <w:rPr>
          <w:rFonts w:ascii="Arial" w:eastAsia="Times New Roman" w:hAnsi="Arial" w:cs="Arial"/>
          <w:color w:val="000000"/>
          <w:sz w:val="24"/>
          <w:szCs w:val="24"/>
        </w:rPr>
        <w:t>the Federal Government or a third-party beneficiary (as in this case) for the loss caused by that failure. See </w:t>
      </w:r>
      <w:r w:rsidRPr="007B2940">
        <w:rPr>
          <w:rFonts w:ascii="Arial" w:eastAsia="Times New Roman" w:hAnsi="Arial" w:cs="Arial"/>
          <w:i/>
          <w:iCs/>
          <w:color w:val="000000"/>
          <w:sz w:val="24"/>
          <w:szCs w:val="24"/>
        </w:rPr>
        <w:t>Guardians, </w:t>
      </w:r>
      <w:r w:rsidRPr="007B2940">
        <w:rPr>
          <w:rFonts w:ascii="Arial" w:eastAsia="Times New Roman" w:hAnsi="Arial" w:cs="Arial"/>
          <w:color w:val="000000"/>
          <w:sz w:val="24"/>
          <w:szCs w:val="24"/>
        </w:rPr>
        <w:t>463 U. S., at 633 (Marshall, J., dissenting) ("When a court concludes that a recipient has breached its contract, it should enforce the broken promise by protecting the expectation that the recipient would not discriminate .... The obvious way to do this is to put private parties in as good a position as they would have been had the contract been performed"). Punitive damages are not compensatory, and are therefore not embraced within the rule described in </w:t>
      </w:r>
      <w:r w:rsidRPr="007B2940">
        <w:rPr>
          <w:rFonts w:ascii="Arial" w:eastAsia="Times New Roman" w:hAnsi="Arial" w:cs="Arial"/>
          <w:i/>
          <w:iCs/>
          <w:color w:val="000000"/>
          <w:sz w:val="24"/>
          <w:szCs w:val="24"/>
        </w:rPr>
        <w:t>Bell.</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Because punitive damages may not be awarded in private suits brought under Title VI of the 1964 Civil Rights Act, it follows that they may not be awarded in suits brought under § 202 of the ADA and § 504 of the Rehabilitation Act.3 This</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before: that the "contractual nature" of Spending Clause legislation "has </w:t>
      </w:r>
      <w:r w:rsidRPr="007B2940">
        <w:rPr>
          <w:rFonts w:ascii="Arial" w:eastAsia="Times New Roman" w:hAnsi="Arial" w:cs="Arial"/>
          <w:i/>
          <w:iCs/>
          <w:color w:val="000000"/>
          <w:sz w:val="24"/>
          <w:szCs w:val="24"/>
        </w:rPr>
        <w:t>implications </w:t>
      </w:r>
      <w:r w:rsidRPr="007B2940">
        <w:rPr>
          <w:rFonts w:ascii="Arial" w:eastAsia="Times New Roman" w:hAnsi="Arial" w:cs="Arial"/>
          <w:color w:val="000000"/>
          <w:sz w:val="24"/>
          <w:szCs w:val="24"/>
        </w:rPr>
        <w:t>for our construction of the scope of available remedies." </w:t>
      </w:r>
      <w:proofErr w:type="spellStart"/>
      <w:r w:rsidRPr="007B2940">
        <w:rPr>
          <w:rFonts w:ascii="Arial" w:eastAsia="Times New Roman" w:hAnsi="Arial" w:cs="Arial"/>
          <w:i/>
          <w:iCs/>
          <w:color w:val="000000"/>
          <w:sz w:val="24"/>
          <w:szCs w:val="24"/>
        </w:rPr>
        <w:t>Gebser</w:t>
      </w:r>
      <w:proofErr w:type="spellEnd"/>
      <w:r w:rsidRPr="007B2940">
        <w:rPr>
          <w:rFonts w:ascii="Arial" w:eastAsia="Times New Roman" w:hAnsi="Arial" w:cs="Arial"/>
          <w:i/>
          <w:iCs/>
          <w:color w:val="000000"/>
          <w:sz w:val="24"/>
          <w:szCs w:val="24"/>
        </w:rPr>
        <w:t>, </w:t>
      </w:r>
      <w:r w:rsidRPr="007B2940">
        <w:rPr>
          <w:rFonts w:ascii="Arial" w:eastAsia="Times New Roman" w:hAnsi="Arial" w:cs="Arial"/>
          <w:color w:val="000000"/>
          <w:sz w:val="24"/>
          <w:szCs w:val="24"/>
        </w:rPr>
        <w:t xml:space="preserve">524 U. S., at 287 (emphasis added). We do not imply, for example, that suits under Spending Clause legislation are suits in contract, or that contract-law principles apply to all issues that </w:t>
      </w:r>
      <w:r w:rsidRPr="007B2940">
        <w:rPr>
          <w:rFonts w:ascii="Arial" w:eastAsia="Times New Roman" w:hAnsi="Arial" w:cs="Arial"/>
          <w:color w:val="000000"/>
          <w:sz w:val="24"/>
          <w:szCs w:val="24"/>
        </w:rPr>
        <w:lastRenderedPageBreak/>
        <w:t xml:space="preserve">they raise. Since JUSTICE STEVENS is unable to identify any "far-reaching </w:t>
      </w:r>
      <w:proofErr w:type="spellStart"/>
      <w:r w:rsidRPr="007B2940">
        <w:rPr>
          <w:rFonts w:ascii="Arial" w:eastAsia="Times New Roman" w:hAnsi="Arial" w:cs="Arial"/>
          <w:color w:val="000000"/>
          <w:sz w:val="24"/>
          <w:szCs w:val="24"/>
        </w:rPr>
        <w:t>consequenc</w:t>
      </w:r>
      <w:proofErr w:type="spellEnd"/>
      <w:r w:rsidRPr="007B2940">
        <w:rPr>
          <w:rFonts w:ascii="Arial" w:eastAsia="Times New Roman" w:hAnsi="Arial" w:cs="Arial"/>
          <w:color w:val="000000"/>
          <w:sz w:val="24"/>
          <w:szCs w:val="24"/>
        </w:rPr>
        <w:t>[e]" that might reasonably follow from our decision today, and since we are merely occupying ground that the Court has long held, we surely do not deserve his praise that we are "fearless crusaders," </w:t>
      </w:r>
      <w:r w:rsidRPr="007B2940">
        <w:rPr>
          <w:rFonts w:ascii="Arial" w:eastAsia="Times New Roman" w:hAnsi="Arial" w:cs="Arial"/>
          <w:i/>
          <w:iCs/>
          <w:color w:val="000000"/>
          <w:sz w:val="24"/>
          <w:szCs w:val="24"/>
        </w:rPr>
        <w:t>post, </w:t>
      </w:r>
      <w:r w:rsidRPr="007B2940">
        <w:rPr>
          <w:rFonts w:ascii="Arial" w:eastAsia="Times New Roman" w:hAnsi="Arial" w:cs="Arial"/>
          <w:color w:val="000000"/>
          <w:sz w:val="24"/>
          <w:szCs w:val="24"/>
        </w:rPr>
        <w:t>at 193, n. 2.</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3JUSTICE STEVENS believes that our analysis of Title VI does not carry over to the ADA because the latter is not Spending Clause legislation, and identifies "tortious conduct." </w:t>
      </w:r>
      <w:r w:rsidRPr="007B2940">
        <w:rPr>
          <w:rFonts w:ascii="Arial" w:eastAsia="Times New Roman" w:hAnsi="Arial" w:cs="Arial"/>
          <w:i/>
          <w:iCs/>
          <w:color w:val="000000"/>
          <w:sz w:val="24"/>
          <w:szCs w:val="24"/>
        </w:rPr>
        <w:t>Post, </w:t>
      </w:r>
      <w:r w:rsidRPr="007B2940">
        <w:rPr>
          <w:rFonts w:ascii="Arial" w:eastAsia="Times New Roman" w:hAnsi="Arial" w:cs="Arial"/>
          <w:color w:val="000000"/>
          <w:sz w:val="24"/>
          <w:szCs w:val="24"/>
        </w:rPr>
        <w:t>at 192, 193, n. 2. Perhaps he thinks that it </w:t>
      </w:r>
      <w:r w:rsidRPr="007B2940">
        <w:rPr>
          <w:rFonts w:ascii="Arial" w:eastAsia="Times New Roman" w:hAnsi="Arial" w:cs="Arial"/>
          <w:i/>
          <w:iCs/>
          <w:color w:val="000000"/>
          <w:sz w:val="24"/>
          <w:szCs w:val="24"/>
        </w:rPr>
        <w:t>should not </w:t>
      </w:r>
      <w:r w:rsidRPr="007B2940">
        <w:rPr>
          <w:rFonts w:ascii="Arial" w:eastAsia="Times New Roman" w:hAnsi="Arial" w:cs="Arial"/>
          <w:color w:val="000000"/>
          <w:sz w:val="24"/>
          <w:szCs w:val="24"/>
        </w:rPr>
        <w:t>carryover, but that is a question for Congress, and</w:t>
      </w:r>
    </w:p>
    <w:p w:rsidR="007B2940" w:rsidRPr="007B2940" w:rsidRDefault="006F3090" w:rsidP="007B294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6F3090">
        <w:rPr>
          <w:rFonts w:ascii="Times New Roman" w:eastAsia="Times New Roman" w:hAnsi="Times New Roman" w:cs="Times New Roman"/>
          <w:noProof/>
          <w:sz w:val="24"/>
          <w:szCs w:val="24"/>
        </w:rPr>
        <w:pict>
          <v:rect id="_x0000_i1033" style="width:0;height:0" o:hrstd="t" o:hrnoshade="t" o:hr="t" fillcolor="black" stroked="f"/>
        </w:pic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bookmarkStart w:id="8" w:name="190"/>
      <w:r w:rsidRPr="007B2940">
        <w:rPr>
          <w:rFonts w:ascii="Arial" w:eastAsia="Times New Roman" w:hAnsi="Arial" w:cs="Arial"/>
          <w:color w:val="06357A"/>
          <w:sz w:val="24"/>
          <w:szCs w:val="24"/>
        </w:rPr>
        <w:t>190</w:t>
      </w:r>
      <w:bookmarkEnd w:id="8"/>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makes it unnecessary to reach petitioners' alternative argument-neither raised nor passed on below 4-invoking the traditional presumption against imposition of punitive damages on government entities. </w:t>
      </w:r>
      <w:r w:rsidRPr="007B2940">
        <w:rPr>
          <w:rFonts w:ascii="Arial" w:eastAsia="Times New Roman" w:hAnsi="Arial" w:cs="Arial"/>
          <w:i/>
          <w:iCs/>
          <w:color w:val="000000"/>
          <w:sz w:val="24"/>
          <w:szCs w:val="24"/>
        </w:rPr>
        <w:t>Vermont Agency of Natural Resources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United States ex rel. Stevens, </w:t>
      </w:r>
      <w:hyperlink r:id="rId18" w:history="1">
        <w:r w:rsidRPr="007B2940">
          <w:rPr>
            <w:rFonts w:ascii="Arial" w:eastAsia="Times New Roman" w:hAnsi="Arial" w:cs="Arial"/>
            <w:color w:val="06357A"/>
            <w:sz w:val="24"/>
            <w:szCs w:val="24"/>
          </w:rPr>
          <w:t>529 U. S. 765</w:t>
        </w:r>
      </w:hyperlink>
      <w:r w:rsidRPr="007B2940">
        <w:rPr>
          <w:rFonts w:ascii="Arial" w:eastAsia="Times New Roman" w:hAnsi="Arial" w:cs="Arial"/>
          <w:color w:val="000000"/>
          <w:sz w:val="24"/>
          <w:szCs w:val="24"/>
        </w:rPr>
        <w:t>, 784-785 (2000); </w:t>
      </w:r>
      <w:r w:rsidRPr="007B2940">
        <w:rPr>
          <w:rFonts w:ascii="Arial" w:eastAsia="Times New Roman" w:hAnsi="Arial" w:cs="Arial"/>
          <w:i/>
          <w:iCs/>
          <w:color w:val="000000"/>
          <w:sz w:val="24"/>
          <w:szCs w:val="24"/>
        </w:rPr>
        <w:t>Newport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Fact Concerts, Inc., </w:t>
      </w:r>
      <w:hyperlink r:id="rId19" w:history="1">
        <w:r w:rsidRPr="007B2940">
          <w:rPr>
            <w:rFonts w:ascii="Arial" w:eastAsia="Times New Roman" w:hAnsi="Arial" w:cs="Arial"/>
            <w:color w:val="06357A"/>
            <w:sz w:val="24"/>
            <w:szCs w:val="24"/>
          </w:rPr>
          <w:t>453 U. S. 247</w:t>
        </w:r>
      </w:hyperlink>
      <w:r w:rsidRPr="007B2940">
        <w:rPr>
          <w:rFonts w:ascii="Arial" w:eastAsia="Times New Roman" w:hAnsi="Arial" w:cs="Arial"/>
          <w:color w:val="000000"/>
          <w:sz w:val="24"/>
          <w:szCs w:val="24"/>
        </w:rPr>
        <w:t>, 262-263 (1981). The judgment of the Court of Appeals is reversed.</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It is so ordered.</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JUSTICE SOUTER, with whom JUSTICE O'CONNOR joins, concurring.</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I join the Court's opinion because I agree that analogy to the common law of contract is appropriate in this instance, with the conclusion that punitive damages are not available under the statute. Punitive damages, as the Court points out, may range in orders of "indeterminate magnitude,"</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Congress has unequivocally said otherwise. The ADA could not be clearer that the "remedies, procedures, and rights ... this subchapter provides" for violations of § 202 are the same as the "remedies, procedures, and rights set forth in" § 505(a)(2) of the Rehabilitation Act, which is Spending Clause legislation. 42 U. S. C. § 12133. Section 505(a)(2), in turn, explains that the "remedies, procedures, and rights set forth in title VI ... shall be available" for violations of § 504 of the Rehabilitation Act. 29 U. S. C. § 794a(a)(2). These explicit provisions make discussion of the ADA's status as a "non Spending Clause" tort statute quite irrelevant.</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4JUSTICE STEVENS suggests that our decision likewise rests on a theory neither presented nor passed on below. </w:t>
      </w:r>
      <w:r w:rsidRPr="007B2940">
        <w:rPr>
          <w:rFonts w:ascii="Arial" w:eastAsia="Times New Roman" w:hAnsi="Arial" w:cs="Arial"/>
          <w:i/>
          <w:iCs/>
          <w:color w:val="000000"/>
          <w:sz w:val="24"/>
          <w:szCs w:val="24"/>
        </w:rPr>
        <w:t>Post, </w:t>
      </w:r>
      <w:r w:rsidRPr="007B2940">
        <w:rPr>
          <w:rFonts w:ascii="Arial" w:eastAsia="Times New Roman" w:hAnsi="Arial" w:cs="Arial"/>
          <w:color w:val="000000"/>
          <w:sz w:val="24"/>
          <w:szCs w:val="24"/>
        </w:rPr>
        <w:t>at 191-192. But the parties raised, and the courts below passed on, the applicability of </w:t>
      </w:r>
      <w:r w:rsidRPr="007B2940">
        <w:rPr>
          <w:rFonts w:ascii="Arial" w:eastAsia="Times New Roman" w:hAnsi="Arial" w:cs="Arial"/>
          <w:i/>
          <w:iCs/>
          <w:color w:val="000000"/>
          <w:sz w:val="24"/>
          <w:szCs w:val="24"/>
        </w:rPr>
        <w:t>Franklin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Gwinnett County Public Schools, </w:t>
      </w:r>
      <w:hyperlink r:id="rId20" w:history="1">
        <w:r w:rsidRPr="007B2940">
          <w:rPr>
            <w:rFonts w:ascii="Arial" w:eastAsia="Times New Roman" w:hAnsi="Arial" w:cs="Arial"/>
            <w:color w:val="06357A"/>
            <w:sz w:val="24"/>
            <w:szCs w:val="24"/>
          </w:rPr>
          <w:t>503 U. S. 60</w:t>
        </w:r>
      </w:hyperlink>
      <w:r w:rsidRPr="007B2940">
        <w:rPr>
          <w:rFonts w:ascii="Arial" w:eastAsia="Times New Roman" w:hAnsi="Arial" w:cs="Arial"/>
          <w:color w:val="000000"/>
          <w:sz w:val="24"/>
          <w:szCs w:val="24"/>
        </w:rPr>
        <w:t> (1992), to the question presented. That case addressed Spending Clause legislation (Title IX) and cited the contract-analogy discussion in </w:t>
      </w:r>
      <w:r w:rsidRPr="007B2940">
        <w:rPr>
          <w:rFonts w:ascii="Arial" w:eastAsia="Times New Roman" w:hAnsi="Arial" w:cs="Arial"/>
          <w:i/>
          <w:iCs/>
          <w:color w:val="000000"/>
          <w:sz w:val="24"/>
          <w:szCs w:val="24"/>
        </w:rPr>
        <w:t>Pennhurst </w:t>
      </w:r>
      <w:r w:rsidRPr="007B2940">
        <w:rPr>
          <w:rFonts w:ascii="Arial" w:eastAsia="Times New Roman" w:hAnsi="Arial" w:cs="Arial"/>
          <w:color w:val="000000"/>
          <w:sz w:val="24"/>
          <w:szCs w:val="24"/>
        </w:rPr>
        <w:t>as the basis for its acknowledgment of a notice requirement. See 503 U. S., at 74-75. Respondent did argue (quite correctly) that petitioners had failed to rely on the </w:t>
      </w:r>
      <w:r w:rsidRPr="007B2940">
        <w:rPr>
          <w:rFonts w:ascii="Arial" w:eastAsia="Times New Roman" w:hAnsi="Arial" w:cs="Arial"/>
          <w:i/>
          <w:iCs/>
          <w:color w:val="000000"/>
          <w:sz w:val="24"/>
          <w:szCs w:val="24"/>
        </w:rPr>
        <w:t>Newport </w:t>
      </w:r>
      <w:r w:rsidRPr="007B2940">
        <w:rPr>
          <w:rFonts w:ascii="Arial" w:eastAsia="Times New Roman" w:hAnsi="Arial" w:cs="Arial"/>
          <w:color w:val="000000"/>
          <w:sz w:val="24"/>
          <w:szCs w:val="24"/>
        </w:rPr>
        <w:t>ground that JUSTICE STEVENS uses, </w:t>
      </w:r>
      <w:r w:rsidRPr="007B2940">
        <w:rPr>
          <w:rFonts w:ascii="Arial" w:eastAsia="Times New Roman" w:hAnsi="Arial" w:cs="Arial"/>
          <w:i/>
          <w:iCs/>
          <w:color w:val="000000"/>
          <w:sz w:val="24"/>
          <w:szCs w:val="24"/>
        </w:rPr>
        <w:t>Newport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Fact Concerts, Inc., </w:t>
      </w:r>
      <w:hyperlink r:id="rId21" w:history="1">
        <w:r w:rsidRPr="007B2940">
          <w:rPr>
            <w:rFonts w:ascii="Arial" w:eastAsia="Times New Roman" w:hAnsi="Arial" w:cs="Arial"/>
            <w:color w:val="06357A"/>
            <w:sz w:val="24"/>
            <w:szCs w:val="24"/>
          </w:rPr>
          <w:t>453 U. S. 247</w:t>
        </w:r>
      </w:hyperlink>
      <w:r w:rsidRPr="007B2940">
        <w:rPr>
          <w:rFonts w:ascii="Arial" w:eastAsia="Times New Roman" w:hAnsi="Arial" w:cs="Arial"/>
          <w:color w:val="000000"/>
          <w:sz w:val="24"/>
          <w:szCs w:val="24"/>
        </w:rPr>
        <w:t xml:space="preserve">, 262-263 </w:t>
      </w:r>
      <w:r w:rsidRPr="007B2940">
        <w:rPr>
          <w:rFonts w:ascii="Arial" w:eastAsia="Times New Roman" w:hAnsi="Arial" w:cs="Arial"/>
          <w:color w:val="000000"/>
          <w:sz w:val="24"/>
          <w:szCs w:val="24"/>
        </w:rPr>
        <w:lastRenderedPageBreak/>
        <w:t>(1981), see Brief for Respondent 41-43, but not that they had failed to rely on the contract analogy initiated in </w:t>
      </w:r>
      <w:r w:rsidRPr="007B2940">
        <w:rPr>
          <w:rFonts w:ascii="Arial" w:eastAsia="Times New Roman" w:hAnsi="Arial" w:cs="Arial"/>
          <w:i/>
          <w:iCs/>
          <w:color w:val="000000"/>
          <w:sz w:val="24"/>
          <w:szCs w:val="24"/>
        </w:rPr>
        <w:t>Pennhurst, </w:t>
      </w:r>
      <w:r w:rsidRPr="007B2940">
        <w:rPr>
          <w:rFonts w:ascii="Arial" w:eastAsia="Times New Roman" w:hAnsi="Arial" w:cs="Arial"/>
          <w:color w:val="000000"/>
          <w:sz w:val="24"/>
          <w:szCs w:val="24"/>
        </w:rPr>
        <w:t>Brief for Respondent 35-41.</w:t>
      </w:r>
    </w:p>
    <w:p w:rsidR="007B2940" w:rsidRPr="007B2940" w:rsidRDefault="006F3090" w:rsidP="007B294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6F3090">
        <w:rPr>
          <w:rFonts w:ascii="Times New Roman" w:eastAsia="Times New Roman" w:hAnsi="Times New Roman" w:cs="Times New Roman"/>
          <w:noProof/>
          <w:sz w:val="24"/>
          <w:szCs w:val="24"/>
        </w:rPr>
        <w:pict>
          <v:rect id="_x0000_i1034" style="width:0;height:0" o:hrstd="t" o:hrnoshade="t" o:hr="t" fillcolor="black" stroked="f"/>
        </w:pic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bookmarkStart w:id="9" w:name="191"/>
      <w:r w:rsidRPr="007B2940">
        <w:rPr>
          <w:rFonts w:ascii="Arial" w:eastAsia="Times New Roman" w:hAnsi="Arial" w:cs="Arial"/>
          <w:color w:val="06357A"/>
          <w:sz w:val="24"/>
          <w:szCs w:val="24"/>
        </w:rPr>
        <w:t>191</w:t>
      </w:r>
      <w:bookmarkEnd w:id="9"/>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i/>
          <w:iCs/>
          <w:color w:val="000000"/>
          <w:sz w:val="24"/>
          <w:szCs w:val="24"/>
        </w:rPr>
        <w:t>ante, </w:t>
      </w:r>
      <w:r w:rsidRPr="007B2940">
        <w:rPr>
          <w:rFonts w:ascii="Arial" w:eastAsia="Times New Roman" w:hAnsi="Arial" w:cs="Arial"/>
          <w:color w:val="000000"/>
          <w:sz w:val="24"/>
          <w:szCs w:val="24"/>
        </w:rPr>
        <w:t>at 188, untethered to compensable harm, and would thus pose a concern that recipients of federal funding could not reasonably have anticipated. I realize, however, and read the Court's opinion as acknowledging, that the contract-law analogy may fail to give such helpfully clear answers to other questions that may be raised by actions for private recovery under Spending Clause legislation, such as the proper measure of compensatory damages.</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JUSTICE STEVENS, with whom JUSTICE GINSBURG and JUSTICE BREYER join, concurring in the judgment.</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The judgment of the Court of Appeals might be reversed on any of three different theories: (1) as the Court held in </w:t>
      </w:r>
      <w:r w:rsidRPr="007B2940">
        <w:rPr>
          <w:rFonts w:ascii="Arial" w:eastAsia="Times New Roman" w:hAnsi="Arial" w:cs="Arial"/>
          <w:i/>
          <w:iCs/>
          <w:color w:val="000000"/>
          <w:sz w:val="24"/>
          <w:szCs w:val="24"/>
        </w:rPr>
        <w:t>Newport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Fact Concerts, Inc., </w:t>
      </w:r>
      <w:hyperlink r:id="rId22" w:history="1">
        <w:r w:rsidRPr="007B2940">
          <w:rPr>
            <w:rFonts w:ascii="Arial" w:eastAsia="Times New Roman" w:hAnsi="Arial" w:cs="Arial"/>
            <w:color w:val="06357A"/>
            <w:sz w:val="24"/>
            <w:szCs w:val="24"/>
          </w:rPr>
          <w:t>453 U. S. 247</w:t>
        </w:r>
      </w:hyperlink>
      <w:r w:rsidRPr="007B2940">
        <w:rPr>
          <w:rFonts w:ascii="Arial" w:eastAsia="Times New Roman" w:hAnsi="Arial" w:cs="Arial"/>
          <w:color w:val="000000"/>
          <w:sz w:val="24"/>
          <w:szCs w:val="24"/>
        </w:rPr>
        <w:t xml:space="preserve"> (1981), absent clear congressional intent to the contrary, municipalities are not subject to punitive damages; (2) an analysis of the text and legislative history of § 504 of Rehabilitation Act of 1973 and Title II of the Americans with Disabilities Act of 1990 (ADA) indicates that Congress did not intend to authorize a punitive damages remedy for violations of either </w:t>
      </w:r>
      <w:proofErr w:type="spellStart"/>
      <w:r w:rsidRPr="007B2940">
        <w:rPr>
          <w:rFonts w:ascii="Arial" w:eastAsia="Times New Roman" w:hAnsi="Arial" w:cs="Arial"/>
          <w:color w:val="000000"/>
          <w:sz w:val="24"/>
          <w:szCs w:val="24"/>
        </w:rPr>
        <w:t>statute;l</w:t>
      </w:r>
      <w:proofErr w:type="spellEnd"/>
      <w:r w:rsidRPr="007B2940">
        <w:rPr>
          <w:rFonts w:ascii="Arial" w:eastAsia="Times New Roman" w:hAnsi="Arial" w:cs="Arial"/>
          <w:color w:val="000000"/>
          <w:sz w:val="24"/>
          <w:szCs w:val="24"/>
        </w:rPr>
        <w:t xml:space="preserve"> or (3) applying reasoning akin to that used in </w:t>
      </w:r>
      <w:r w:rsidRPr="007B2940">
        <w:rPr>
          <w:rFonts w:ascii="Arial" w:eastAsia="Times New Roman" w:hAnsi="Arial" w:cs="Arial"/>
          <w:i/>
          <w:iCs/>
          <w:color w:val="000000"/>
          <w:sz w:val="24"/>
          <w:szCs w:val="24"/>
        </w:rPr>
        <w:t>Pennhurst State School and Hospital </w:t>
      </w:r>
      <w:r w:rsidRPr="007B2940">
        <w:rPr>
          <w:rFonts w:ascii="Arial" w:eastAsia="Times New Roman" w:hAnsi="Arial" w:cs="Arial"/>
          <w:color w:val="000000"/>
          <w:sz w:val="24"/>
          <w:szCs w:val="24"/>
        </w:rPr>
        <w:t>v. </w:t>
      </w:r>
      <w:proofErr w:type="spellStart"/>
      <w:r w:rsidRPr="007B2940">
        <w:rPr>
          <w:rFonts w:ascii="Arial" w:eastAsia="Times New Roman" w:hAnsi="Arial" w:cs="Arial"/>
          <w:i/>
          <w:iCs/>
          <w:color w:val="000000"/>
          <w:sz w:val="24"/>
          <w:szCs w:val="24"/>
        </w:rPr>
        <w:t>Halderman</w:t>
      </w:r>
      <w:proofErr w:type="spellEnd"/>
      <w:r w:rsidRPr="007B2940">
        <w:rPr>
          <w:rFonts w:ascii="Arial" w:eastAsia="Times New Roman" w:hAnsi="Arial" w:cs="Arial"/>
          <w:i/>
          <w:iCs/>
          <w:color w:val="000000"/>
          <w:sz w:val="24"/>
          <w:szCs w:val="24"/>
        </w:rPr>
        <w:t>, </w:t>
      </w:r>
      <w:hyperlink r:id="rId23" w:history="1">
        <w:r w:rsidRPr="007B2940">
          <w:rPr>
            <w:rFonts w:ascii="Arial" w:eastAsia="Times New Roman" w:hAnsi="Arial" w:cs="Arial"/>
            <w:color w:val="06357A"/>
            <w:sz w:val="24"/>
            <w:szCs w:val="24"/>
          </w:rPr>
          <w:t>451 U. S. 1</w:t>
        </w:r>
      </w:hyperlink>
      <w:r w:rsidRPr="007B2940">
        <w:rPr>
          <w:rFonts w:ascii="Arial" w:eastAsia="Times New Roman" w:hAnsi="Arial" w:cs="Arial"/>
          <w:color w:val="000000"/>
          <w:sz w:val="24"/>
          <w:szCs w:val="24"/>
        </w:rPr>
        <w:t> (1981), that the remedies for violations of federal statutes enacted pursuant to Congress' spending power should be defined by the common law of contracts, third-party beneficiaries are not allowed to recover punitive damages.</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Petitioners did not rely on either the first or the third of those theories in either the District Court or the Court of Appeals. Nevertheless, because it presents the narrowest basis for resolving the case, I am convinced that it is an appropriate exercise of judicial restraint to decide the case</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1 This was the theory that was adopted by the Court of Appeals for the Sixth Circuit in </w:t>
      </w:r>
      <w:r w:rsidRPr="007B2940">
        <w:rPr>
          <w:rFonts w:ascii="Arial" w:eastAsia="Times New Roman" w:hAnsi="Arial" w:cs="Arial"/>
          <w:i/>
          <w:iCs/>
          <w:color w:val="000000"/>
          <w:sz w:val="24"/>
          <w:szCs w:val="24"/>
        </w:rPr>
        <w:t>Moreno </w:t>
      </w:r>
      <w:r w:rsidRPr="007B2940">
        <w:rPr>
          <w:rFonts w:ascii="Arial" w:eastAsia="Times New Roman" w:hAnsi="Arial" w:cs="Arial"/>
          <w:color w:val="000000"/>
          <w:sz w:val="24"/>
          <w:szCs w:val="24"/>
        </w:rPr>
        <w:t>v. </w:t>
      </w:r>
      <w:r w:rsidRPr="007B2940">
        <w:rPr>
          <w:rFonts w:ascii="Arial" w:eastAsia="Times New Roman" w:hAnsi="Arial" w:cs="Arial"/>
          <w:i/>
          <w:iCs/>
          <w:color w:val="000000"/>
          <w:sz w:val="24"/>
          <w:szCs w:val="24"/>
        </w:rPr>
        <w:t>Consolidated Rail Corp., </w:t>
      </w:r>
      <w:hyperlink r:id="rId24" w:history="1">
        <w:r w:rsidRPr="007B2940">
          <w:rPr>
            <w:rFonts w:ascii="Arial" w:eastAsia="Times New Roman" w:hAnsi="Arial" w:cs="Arial"/>
            <w:color w:val="06357A"/>
            <w:sz w:val="24"/>
            <w:szCs w:val="24"/>
          </w:rPr>
          <w:t>99 F.3d 782</w:t>
        </w:r>
      </w:hyperlink>
      <w:r w:rsidRPr="007B2940">
        <w:rPr>
          <w:rFonts w:ascii="Arial" w:eastAsia="Times New Roman" w:hAnsi="Arial" w:cs="Arial"/>
          <w:color w:val="000000"/>
          <w:sz w:val="24"/>
          <w:szCs w:val="24"/>
        </w:rPr>
        <w:t>,788-792 (1996). It was also the only theory discussed and rejected by the Court of Appeals below.</w:t>
      </w:r>
    </w:p>
    <w:p w:rsidR="007B2940" w:rsidRPr="007B2940" w:rsidRDefault="006F3090" w:rsidP="007B294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6F3090">
        <w:rPr>
          <w:rFonts w:ascii="Times New Roman" w:eastAsia="Times New Roman" w:hAnsi="Times New Roman" w:cs="Times New Roman"/>
          <w:noProof/>
          <w:sz w:val="24"/>
          <w:szCs w:val="24"/>
        </w:rPr>
        <w:pict>
          <v:rect id="_x0000_i1035" style="width:0;height:0" o:hrstd="t" o:hrnoshade="t" o:hr="t" fillcolor="black" stroked="f"/>
        </w:pic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bookmarkStart w:id="10" w:name="192"/>
      <w:r w:rsidRPr="007B2940">
        <w:rPr>
          <w:rFonts w:ascii="Arial" w:eastAsia="Times New Roman" w:hAnsi="Arial" w:cs="Arial"/>
          <w:color w:val="06357A"/>
          <w:sz w:val="24"/>
          <w:szCs w:val="24"/>
        </w:rPr>
        <w:t>192</w:t>
      </w:r>
      <w:bookmarkEnd w:id="10"/>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STEVENS, J., concurring in judgment</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on the theory that petitioners are immune from punitive damages under </w:t>
      </w:r>
      <w:r w:rsidRPr="007B2940">
        <w:rPr>
          <w:rFonts w:ascii="Arial" w:eastAsia="Times New Roman" w:hAnsi="Arial" w:cs="Arial"/>
          <w:i/>
          <w:iCs/>
          <w:color w:val="000000"/>
          <w:sz w:val="24"/>
          <w:szCs w:val="24"/>
        </w:rPr>
        <w:t>Newport. </w:t>
      </w:r>
      <w:r w:rsidRPr="007B2940">
        <w:rPr>
          <w:rFonts w:ascii="Arial" w:eastAsia="Times New Roman" w:hAnsi="Arial" w:cs="Arial"/>
          <w:color w:val="000000"/>
          <w:sz w:val="24"/>
          <w:szCs w:val="24"/>
        </w:rPr>
        <w:t xml:space="preserve">There is, however, no justification for the Court's decision to reach out and decide the case on </w:t>
      </w:r>
      <w:r w:rsidRPr="007B2940">
        <w:rPr>
          <w:rFonts w:ascii="Arial" w:eastAsia="Times New Roman" w:hAnsi="Arial" w:cs="Arial"/>
          <w:color w:val="000000"/>
          <w:sz w:val="24"/>
          <w:szCs w:val="24"/>
        </w:rPr>
        <w:lastRenderedPageBreak/>
        <w:t>a broader ground that was not argued below. The Court's reliance on, and extension of, </w:t>
      </w:r>
      <w:r w:rsidRPr="007B2940">
        <w:rPr>
          <w:rFonts w:ascii="Arial" w:eastAsia="Times New Roman" w:hAnsi="Arial" w:cs="Arial"/>
          <w:i/>
          <w:iCs/>
          <w:color w:val="000000"/>
          <w:sz w:val="24"/>
          <w:szCs w:val="24"/>
        </w:rPr>
        <w:t>Pennhurst-a </w:t>
      </w:r>
      <w:r w:rsidRPr="007B2940">
        <w:rPr>
          <w:rFonts w:ascii="Arial" w:eastAsia="Times New Roman" w:hAnsi="Arial" w:cs="Arial"/>
          <w:color w:val="000000"/>
          <w:sz w:val="24"/>
          <w:szCs w:val="24"/>
        </w:rPr>
        <w:t xml:space="preserve">case that was not even cited in petitioners' briefs in the Court of </w:t>
      </w:r>
      <w:proofErr w:type="spellStart"/>
      <w:r w:rsidRPr="007B2940">
        <w:rPr>
          <w:rFonts w:ascii="Arial" w:eastAsia="Times New Roman" w:hAnsi="Arial" w:cs="Arial"/>
          <w:color w:val="000000"/>
          <w:sz w:val="24"/>
          <w:szCs w:val="24"/>
        </w:rPr>
        <w:t>Appealsis</w:t>
      </w:r>
      <w:proofErr w:type="spellEnd"/>
      <w:r w:rsidRPr="007B2940">
        <w:rPr>
          <w:rFonts w:ascii="Arial" w:eastAsia="Times New Roman" w:hAnsi="Arial" w:cs="Arial"/>
          <w:color w:val="000000"/>
          <w:sz w:val="24"/>
          <w:szCs w:val="24"/>
        </w:rPr>
        <w:t xml:space="preserve"> particularly inappropriate.</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In </w:t>
      </w:r>
      <w:r w:rsidRPr="007B2940">
        <w:rPr>
          <w:rFonts w:ascii="Arial" w:eastAsia="Times New Roman" w:hAnsi="Arial" w:cs="Arial"/>
          <w:i/>
          <w:iCs/>
          <w:color w:val="000000"/>
          <w:sz w:val="24"/>
          <w:szCs w:val="24"/>
        </w:rPr>
        <w:t>Pennhurst </w:t>
      </w:r>
      <w:r w:rsidRPr="007B2940">
        <w:rPr>
          <w:rFonts w:ascii="Arial" w:eastAsia="Times New Roman" w:hAnsi="Arial" w:cs="Arial"/>
          <w:color w:val="000000"/>
          <w:sz w:val="24"/>
          <w:szCs w:val="24"/>
        </w:rPr>
        <w:t>we were faced with the question whether the Developmentally Disabled Assistance and Bill of Rights Act, 42 U. S. C. § 6010, had imposed affirmative obligations on participating States. Relying in part on the important distinction between statutory provisions that "simply prohibited certain kinds of state conduct" and those that "impose </w:t>
      </w:r>
      <w:r w:rsidRPr="007B2940">
        <w:rPr>
          <w:rFonts w:ascii="Arial" w:eastAsia="Times New Roman" w:hAnsi="Arial" w:cs="Arial"/>
          <w:i/>
          <w:iCs/>
          <w:color w:val="000000"/>
          <w:sz w:val="24"/>
          <w:szCs w:val="24"/>
        </w:rPr>
        <w:t>affirmative </w:t>
      </w:r>
      <w:r w:rsidRPr="007B2940">
        <w:rPr>
          <w:rFonts w:ascii="Arial" w:eastAsia="Times New Roman" w:hAnsi="Arial" w:cs="Arial"/>
          <w:color w:val="000000"/>
          <w:sz w:val="24"/>
          <w:szCs w:val="24"/>
        </w:rPr>
        <w:t>obligations on the States to fund certain services," 451 U. S., at 16-17, we first held that § 6010 was enacted pursuant to the Spending Clause. We then concluded that the "affirmative obligations" that the Court of Appeals had found in § 6010 could "hardly be considered a 'condition' of the grant of federal funds." </w:t>
      </w:r>
      <w:r w:rsidRPr="007B2940">
        <w:rPr>
          <w:rFonts w:ascii="Arial" w:eastAsia="Times New Roman" w:hAnsi="Arial" w:cs="Arial"/>
          <w:i/>
          <w:iCs/>
          <w:color w:val="000000"/>
          <w:sz w:val="24"/>
          <w:szCs w:val="24"/>
        </w:rPr>
        <w:t>Id., </w:t>
      </w:r>
      <w:r w:rsidRPr="007B2940">
        <w:rPr>
          <w:rFonts w:ascii="Arial" w:eastAsia="Times New Roman" w:hAnsi="Arial" w:cs="Arial"/>
          <w:color w:val="000000"/>
          <w:sz w:val="24"/>
          <w:szCs w:val="24"/>
        </w:rPr>
        <w:t>at 23. "When Congress does impose affirmative obligations on the States, it usually makes a far more substantial contribution to defray costs .... It defies common sense, in short, to suppose that Congress implicitly imposed this massive obligation on participating States." </w:t>
      </w:r>
      <w:r w:rsidRPr="007B2940">
        <w:rPr>
          <w:rFonts w:ascii="Arial" w:eastAsia="Times New Roman" w:hAnsi="Arial" w:cs="Arial"/>
          <w:i/>
          <w:iCs/>
          <w:color w:val="000000"/>
          <w:sz w:val="24"/>
          <w:szCs w:val="24"/>
        </w:rPr>
        <w:t>Id., </w:t>
      </w:r>
      <w:r w:rsidRPr="007B2940">
        <w:rPr>
          <w:rFonts w:ascii="Arial" w:eastAsia="Times New Roman" w:hAnsi="Arial" w:cs="Arial"/>
          <w:color w:val="000000"/>
          <w:sz w:val="24"/>
          <w:szCs w:val="24"/>
        </w:rPr>
        <w:t>at 24.</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The case before us today involves a municipality's breach of a condition that simply prohibits certain discriminatory conduct. The prohibition is set forth in two statutes, one of which, Title II of the ADA, was not enacted pursuant to the Spending Clause. Our opinion in </w:t>
      </w:r>
      <w:r w:rsidRPr="007B2940">
        <w:rPr>
          <w:rFonts w:ascii="Arial" w:eastAsia="Times New Roman" w:hAnsi="Arial" w:cs="Arial"/>
          <w:i/>
          <w:iCs/>
          <w:color w:val="000000"/>
          <w:sz w:val="24"/>
          <w:szCs w:val="24"/>
        </w:rPr>
        <w:t>Pennhurst </w:t>
      </w:r>
      <w:r w:rsidRPr="007B2940">
        <w:rPr>
          <w:rFonts w:ascii="Arial" w:eastAsia="Times New Roman" w:hAnsi="Arial" w:cs="Arial"/>
          <w:color w:val="000000"/>
          <w:sz w:val="24"/>
          <w:szCs w:val="24"/>
        </w:rPr>
        <w:t>says nothing about the remedy that might be appropriate for such a breach. Nor do I believe that the rules of contract law on which the Court relies are necessarily relevant to the tortious conduct described in this record. Moreover, the Court's novel reliance on what has been, at most, a useful analogy to contract law has potentially far-reaching consequences that go well beyond the issues briefed and argued</w:t>
      </w:r>
    </w:p>
    <w:p w:rsidR="007B2940" w:rsidRPr="007B2940" w:rsidRDefault="006F3090" w:rsidP="007B294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6F3090">
        <w:rPr>
          <w:rFonts w:ascii="Times New Roman" w:eastAsia="Times New Roman" w:hAnsi="Times New Roman" w:cs="Times New Roman"/>
          <w:noProof/>
          <w:sz w:val="24"/>
          <w:szCs w:val="24"/>
        </w:rPr>
        <w:pict>
          <v:rect id="_x0000_i1036" style="width:0;height:0" o:hrstd="t" o:hrnoshade="t" o:hr="t" fillcolor="black" stroked="f"/>
        </w:pic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bookmarkStart w:id="11" w:name="193"/>
      <w:r w:rsidRPr="007B2940">
        <w:rPr>
          <w:rFonts w:ascii="Arial" w:eastAsia="Times New Roman" w:hAnsi="Arial" w:cs="Arial"/>
          <w:color w:val="06357A"/>
          <w:sz w:val="24"/>
          <w:szCs w:val="24"/>
        </w:rPr>
        <w:t>193</w:t>
      </w:r>
      <w:bookmarkEnd w:id="11"/>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in this case.2 In light of the fact that the petitioners-in addition to most defendants sued for violations of Title II of the ADA and § 504 of the Rehabilitation Act of 1973-are clearly not subject to punitive damages pursuant to our holding in </w:t>
      </w:r>
      <w:r w:rsidRPr="007B2940">
        <w:rPr>
          <w:rFonts w:ascii="Arial" w:eastAsia="Times New Roman" w:hAnsi="Arial" w:cs="Arial"/>
          <w:i/>
          <w:iCs/>
          <w:color w:val="000000"/>
          <w:sz w:val="24"/>
          <w:szCs w:val="24"/>
        </w:rPr>
        <w:t>Newport, </w:t>
      </w:r>
      <w:r w:rsidRPr="007B2940">
        <w:rPr>
          <w:rFonts w:ascii="Arial" w:eastAsia="Times New Roman" w:hAnsi="Arial" w:cs="Arial"/>
          <w:color w:val="000000"/>
          <w:sz w:val="24"/>
          <w:szCs w:val="24"/>
        </w:rPr>
        <w:t>I see no reason to decide the case on the expansive basis asserted by the Court.</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Accordingly, I do not join the Court's opinion, although I do concur in its judgment in this case.</w:t>
      </w:r>
    </w:p>
    <w:p w:rsidR="007B2940" w:rsidRPr="007B2940" w:rsidRDefault="007B2940" w:rsidP="007B2940">
      <w:pPr>
        <w:shd w:val="clear" w:color="auto" w:fill="FFFFFF"/>
        <w:spacing w:before="100" w:beforeAutospacing="1" w:after="100" w:afterAutospacing="1" w:line="240" w:lineRule="auto"/>
        <w:rPr>
          <w:rFonts w:ascii="Arial" w:eastAsia="Times New Roman" w:hAnsi="Arial" w:cs="Arial"/>
          <w:color w:val="000000"/>
          <w:sz w:val="24"/>
          <w:szCs w:val="24"/>
        </w:rPr>
      </w:pPr>
      <w:r w:rsidRPr="007B2940">
        <w:rPr>
          <w:rFonts w:ascii="Arial" w:eastAsia="Times New Roman" w:hAnsi="Arial" w:cs="Arial"/>
          <w:color w:val="000000"/>
          <w:sz w:val="24"/>
          <w:szCs w:val="24"/>
        </w:rPr>
        <w:t>2 Although rejected by the Sixth Circuit, see </w:t>
      </w:r>
      <w:r w:rsidRPr="007B2940">
        <w:rPr>
          <w:rFonts w:ascii="Arial" w:eastAsia="Times New Roman" w:hAnsi="Arial" w:cs="Arial"/>
          <w:i/>
          <w:iCs/>
          <w:color w:val="000000"/>
          <w:sz w:val="24"/>
          <w:szCs w:val="24"/>
        </w:rPr>
        <w:t>Westside Mothers </w:t>
      </w:r>
      <w:r w:rsidRPr="007B2940">
        <w:rPr>
          <w:rFonts w:ascii="Arial" w:eastAsia="Times New Roman" w:hAnsi="Arial" w:cs="Arial"/>
          <w:color w:val="000000"/>
          <w:sz w:val="24"/>
          <w:szCs w:val="24"/>
        </w:rPr>
        <w:t>v. </w:t>
      </w:r>
      <w:proofErr w:type="spellStart"/>
      <w:r w:rsidRPr="007B2940">
        <w:rPr>
          <w:rFonts w:ascii="Arial" w:eastAsia="Times New Roman" w:hAnsi="Arial" w:cs="Arial"/>
          <w:i/>
          <w:iCs/>
          <w:color w:val="000000"/>
          <w:sz w:val="24"/>
          <w:szCs w:val="24"/>
        </w:rPr>
        <w:t>Haveman</w:t>
      </w:r>
      <w:proofErr w:type="spellEnd"/>
      <w:r w:rsidRPr="007B2940">
        <w:rPr>
          <w:rFonts w:ascii="Arial" w:eastAsia="Times New Roman" w:hAnsi="Arial" w:cs="Arial"/>
          <w:i/>
          <w:iCs/>
          <w:color w:val="000000"/>
          <w:sz w:val="24"/>
          <w:szCs w:val="24"/>
        </w:rPr>
        <w:t>, </w:t>
      </w:r>
      <w:hyperlink r:id="rId25" w:history="1">
        <w:r w:rsidRPr="007B2940">
          <w:rPr>
            <w:rFonts w:ascii="Arial" w:eastAsia="Times New Roman" w:hAnsi="Arial" w:cs="Arial"/>
            <w:color w:val="06357A"/>
            <w:sz w:val="24"/>
            <w:szCs w:val="24"/>
          </w:rPr>
          <w:t>289 F.3d 852</w:t>
        </w:r>
      </w:hyperlink>
      <w:r w:rsidRPr="007B2940">
        <w:rPr>
          <w:rFonts w:ascii="Arial" w:eastAsia="Times New Roman" w:hAnsi="Arial" w:cs="Arial"/>
          <w:color w:val="000000"/>
          <w:sz w:val="24"/>
          <w:szCs w:val="24"/>
        </w:rPr>
        <w:t> (2002), one District Court applied the </w:t>
      </w:r>
      <w:r w:rsidRPr="007B2940">
        <w:rPr>
          <w:rFonts w:ascii="Arial" w:eastAsia="Times New Roman" w:hAnsi="Arial" w:cs="Arial"/>
          <w:i/>
          <w:iCs/>
          <w:color w:val="000000"/>
          <w:sz w:val="24"/>
          <w:szCs w:val="24"/>
        </w:rPr>
        <w:t>Pennhurst </w:t>
      </w:r>
      <w:r w:rsidRPr="007B2940">
        <w:rPr>
          <w:rFonts w:ascii="Arial" w:eastAsia="Times New Roman" w:hAnsi="Arial" w:cs="Arial"/>
          <w:color w:val="000000"/>
          <w:sz w:val="24"/>
          <w:szCs w:val="24"/>
        </w:rPr>
        <w:t>contract analogy in order to support its conclusion that Spending Clause legislation is not the "supreme law of the land." </w:t>
      </w:r>
      <w:r w:rsidRPr="007B2940">
        <w:rPr>
          <w:rFonts w:ascii="Arial" w:eastAsia="Times New Roman" w:hAnsi="Arial" w:cs="Arial"/>
          <w:i/>
          <w:iCs/>
          <w:color w:val="000000"/>
          <w:sz w:val="24"/>
          <w:szCs w:val="24"/>
        </w:rPr>
        <w:t>Westside Mothers </w:t>
      </w:r>
      <w:r w:rsidRPr="007B2940">
        <w:rPr>
          <w:rFonts w:ascii="Arial" w:eastAsia="Times New Roman" w:hAnsi="Arial" w:cs="Arial"/>
          <w:color w:val="000000"/>
          <w:sz w:val="24"/>
          <w:szCs w:val="24"/>
        </w:rPr>
        <w:t>v. </w:t>
      </w:r>
      <w:proofErr w:type="spellStart"/>
      <w:r w:rsidRPr="007B2940">
        <w:rPr>
          <w:rFonts w:ascii="Arial" w:eastAsia="Times New Roman" w:hAnsi="Arial" w:cs="Arial"/>
          <w:i/>
          <w:iCs/>
          <w:color w:val="000000"/>
          <w:sz w:val="24"/>
          <w:szCs w:val="24"/>
        </w:rPr>
        <w:t>Haveman</w:t>
      </w:r>
      <w:proofErr w:type="spellEnd"/>
      <w:r w:rsidRPr="007B2940">
        <w:rPr>
          <w:rFonts w:ascii="Arial" w:eastAsia="Times New Roman" w:hAnsi="Arial" w:cs="Arial"/>
          <w:i/>
          <w:iCs/>
          <w:color w:val="000000"/>
          <w:sz w:val="24"/>
          <w:szCs w:val="24"/>
        </w:rPr>
        <w:t>, </w:t>
      </w:r>
      <w:r w:rsidRPr="007B2940">
        <w:rPr>
          <w:rFonts w:ascii="Arial" w:eastAsia="Times New Roman" w:hAnsi="Arial" w:cs="Arial"/>
          <w:color w:val="000000"/>
          <w:sz w:val="24"/>
          <w:szCs w:val="24"/>
        </w:rPr>
        <w:t>133 F. Supp. 2d 549, 561 (ED Mich. 2001). The Court fortunately does cabin the potential reach of today's decision by stating that "[w]e do not imply, for example, that suits under Spending Clause legislation are suits in contract, or that contract-law principles apply to all issues that they raise," </w:t>
      </w:r>
      <w:r w:rsidRPr="007B2940">
        <w:rPr>
          <w:rFonts w:ascii="Arial" w:eastAsia="Times New Roman" w:hAnsi="Arial" w:cs="Arial"/>
          <w:i/>
          <w:iCs/>
          <w:color w:val="000000"/>
          <w:sz w:val="24"/>
          <w:szCs w:val="24"/>
        </w:rPr>
        <w:t>ante, </w:t>
      </w:r>
      <w:r w:rsidRPr="007B2940">
        <w:rPr>
          <w:rFonts w:ascii="Arial" w:eastAsia="Times New Roman" w:hAnsi="Arial" w:cs="Arial"/>
          <w:color w:val="000000"/>
          <w:sz w:val="24"/>
          <w:szCs w:val="24"/>
        </w:rPr>
        <w:t xml:space="preserve">at 189, </w:t>
      </w:r>
      <w:r w:rsidRPr="007B2940">
        <w:rPr>
          <w:rFonts w:ascii="Arial" w:eastAsia="Times New Roman" w:hAnsi="Arial" w:cs="Arial"/>
          <w:color w:val="000000"/>
          <w:sz w:val="24"/>
          <w:szCs w:val="24"/>
        </w:rPr>
        <w:lastRenderedPageBreak/>
        <w:t>n. 2, but whenever the Court reaches out to adopt a broad theory that was not discussed in the early stages of the litigation, and that implicates statutes that are not at issue, its opinion is sure to have unforeseen consequences. When it does so unnecessarily, it tends to assume a legislative, rather than a judicial, role. Reliance on a narrower theory that was not argued below does not create that risk. I am not persuaded that "Chicken-Little," </w:t>
      </w:r>
      <w:r w:rsidRPr="007B2940">
        <w:rPr>
          <w:rFonts w:ascii="Arial" w:eastAsia="Times New Roman" w:hAnsi="Arial" w:cs="Arial"/>
          <w:i/>
          <w:iCs/>
          <w:color w:val="000000"/>
          <w:sz w:val="24"/>
          <w:szCs w:val="24"/>
        </w:rPr>
        <w:t>ante, </w:t>
      </w:r>
      <w:r w:rsidRPr="007B2940">
        <w:rPr>
          <w:rFonts w:ascii="Arial" w:eastAsia="Times New Roman" w:hAnsi="Arial" w:cs="Arial"/>
          <w:color w:val="000000"/>
          <w:sz w:val="24"/>
          <w:szCs w:val="24"/>
        </w:rPr>
        <w:t>at 188, n. 2, is an appropriate characterization of judicial restraint; it is, however, a rhetorical device appropriately used by fearless crusaders.</w:t>
      </w:r>
    </w:p>
    <w:p w:rsidR="00CD4460" w:rsidRDefault="00CD4460"/>
    <w:sectPr w:rsidR="00CD44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B2940"/>
    <w:rsid w:val="006F3090"/>
    <w:rsid w:val="007B2940"/>
    <w:rsid w:val="00CD4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15:docId w15:val="{2B822BDC-64BC-CE4A-948F-0078BBE58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B294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B2940"/>
    <w:rPr>
      <w:i/>
      <w:iCs/>
    </w:rPr>
  </w:style>
  <w:style w:type="character" w:styleId="Hyperlink">
    <w:name w:val="Hyperlink"/>
    <w:basedOn w:val="DefaultParagraphFont"/>
    <w:uiPriority w:val="99"/>
    <w:semiHidden/>
    <w:unhideWhenUsed/>
    <w:rsid w:val="007B29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5079431">
      <w:bodyDiv w:val="1"/>
      <w:marLeft w:val="0"/>
      <w:marRight w:val="0"/>
      <w:marTop w:val="0"/>
      <w:marBottom w:val="0"/>
      <w:divBdr>
        <w:top w:val="none" w:sz="0" w:space="0" w:color="auto"/>
        <w:left w:val="none" w:sz="0" w:space="0" w:color="auto"/>
        <w:bottom w:val="none" w:sz="0" w:space="0" w:color="auto"/>
        <w:right w:val="none" w:sz="0" w:space="0" w:color="auto"/>
      </w:divBdr>
      <w:divsChild>
        <w:div w:id="15090578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reme.justia.com/cases/federal/us/441/677/case.html" TargetMode="External"/><Relationship Id="rId13" Type="http://schemas.openxmlformats.org/officeDocument/2006/relationships/hyperlink" Target="https://supreme.justia.com/cases/federal/us/414/563/case.html" TargetMode="External"/><Relationship Id="rId18" Type="http://schemas.openxmlformats.org/officeDocument/2006/relationships/hyperlink" Target="https://supreme.justia.com/cases/federal/us/529/765/case.html"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s://supreme.justia.com/cases/federal/us/453/247/case.html" TargetMode="External"/><Relationship Id="rId7" Type="http://schemas.openxmlformats.org/officeDocument/2006/relationships/hyperlink" Target="http://cases.justia.com/us-court-of-appeals/F3/257/738/" TargetMode="External"/><Relationship Id="rId12" Type="http://schemas.openxmlformats.org/officeDocument/2006/relationships/hyperlink" Target="https://supreme.justia.com/cases/federal/us/524/274/case.html" TargetMode="External"/><Relationship Id="rId17" Type="http://schemas.openxmlformats.org/officeDocument/2006/relationships/hyperlink" Target="https://supreme.justia.com/cases/federal/us/327/678/case.html" TargetMode="External"/><Relationship Id="rId25" Type="http://schemas.openxmlformats.org/officeDocument/2006/relationships/hyperlink" Target="http://cases.justia.com/us-court-of-appeals/F3/289/852/" TargetMode="External"/><Relationship Id="rId2" Type="http://schemas.openxmlformats.org/officeDocument/2006/relationships/settings" Target="settings.xml"/><Relationship Id="rId16" Type="http://schemas.openxmlformats.org/officeDocument/2006/relationships/hyperlink" Target="https://supreme.justia.com/cases/federal/us/524/274/case.html" TargetMode="External"/><Relationship Id="rId20" Type="http://schemas.openxmlformats.org/officeDocument/2006/relationships/hyperlink" Target="https://supreme.justia.com/cases/federal/us/503/60/case.html" TargetMode="External"/><Relationship Id="rId1" Type="http://schemas.openxmlformats.org/officeDocument/2006/relationships/styles" Target="styles.xml"/><Relationship Id="rId6" Type="http://schemas.openxmlformats.org/officeDocument/2006/relationships/hyperlink" Target="https://supreme.justia.com/cases/federal/us/503/60/case.html" TargetMode="External"/><Relationship Id="rId11" Type="http://schemas.openxmlformats.org/officeDocument/2006/relationships/hyperlink" Target="https://supreme.justia.com/cases/federal/us/451/1/case.html" TargetMode="External"/><Relationship Id="rId24" Type="http://schemas.openxmlformats.org/officeDocument/2006/relationships/hyperlink" Target="http://cases.justia.com/us-court-of-appeals/F3/99/782/" TargetMode="External"/><Relationship Id="rId5" Type="http://schemas.openxmlformats.org/officeDocument/2006/relationships/hyperlink" Target="http://cases.justia.com/us-court-of-appeals/F3/257/738/" TargetMode="External"/><Relationship Id="rId15" Type="http://schemas.openxmlformats.org/officeDocument/2006/relationships/hyperlink" Target="https://supreme.justia.com/cases/federal/us/526/629/case.html" TargetMode="External"/><Relationship Id="rId23" Type="http://schemas.openxmlformats.org/officeDocument/2006/relationships/hyperlink" Target="https://supreme.justia.com/cases/federal/us/451/1/case.html" TargetMode="External"/><Relationship Id="rId10" Type="http://schemas.openxmlformats.org/officeDocument/2006/relationships/hyperlink" Target="https://supreme.justia.com/cases/federal/us/526/629/case.html" TargetMode="External"/><Relationship Id="rId19" Type="http://schemas.openxmlformats.org/officeDocument/2006/relationships/hyperlink" Target="https://supreme.justia.com/cases/federal/us/453/247/case.html" TargetMode="External"/><Relationship Id="rId4" Type="http://schemas.openxmlformats.org/officeDocument/2006/relationships/hyperlink" Target="https://supreme.justia.com/cases/federal/us/503/60/case.html" TargetMode="External"/><Relationship Id="rId9" Type="http://schemas.openxmlformats.org/officeDocument/2006/relationships/hyperlink" Target="https://supreme.justia.com/cases/federal/us/532/275/case.html" TargetMode="External"/><Relationship Id="rId14" Type="http://schemas.openxmlformats.org/officeDocument/2006/relationships/hyperlink" Target="https://supreme.justia.com/cases/federal/us/470/656/case.html" TargetMode="External"/><Relationship Id="rId22" Type="http://schemas.openxmlformats.org/officeDocument/2006/relationships/hyperlink" Target="https://supreme.justia.com/cases/federal/us/453/247/case.htm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11</Pages>
  <Words>4449</Words>
  <Characters>25361</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Virginia Breeze</dc:creator>
  <cp:lastModifiedBy>Mark Regan</cp:lastModifiedBy>
  <cp:revision>2</cp:revision>
  <dcterms:created xsi:type="dcterms:W3CDTF">2022-05-11T16:45:00Z</dcterms:created>
  <dcterms:modified xsi:type="dcterms:W3CDTF">2022-05-11T16:45:00Z</dcterms:modified>
</cp:coreProperties>
</file>