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1D57D" w14:textId="77777777" w:rsidR="000D2E8F" w:rsidRPr="000D2E8F" w:rsidRDefault="000D2E8F" w:rsidP="000D2E8F">
      <w:r w:rsidRPr="000D2E8F">
        <w:t>2. SSA COMPLIANCE WITH CERTAIN FEDERAL COURT DECISIONS (SEC. 302 OF THE BILL)</w:t>
      </w:r>
    </w:p>
    <w:p w14:paraId="0EB807B6" w14:textId="77777777" w:rsidR="000D2E8F" w:rsidRPr="000D2E8F" w:rsidRDefault="000D2E8F" w:rsidP="000D2E8F">
      <w:r w:rsidRPr="000D2E8F">
        <w:t>UNDER THE FEDERAL JUDICIAL SYSTEM, DECISIONS BY A CIRCUIT COURT OF APPEALS ARE CONSIDERED THE ‘LAW OF THE CIRCUIT,‘ AND CONSTITUTE BINDING CASE LAW TO BE FOLLOWED BY ALL DISTRICT COURTS IN THAT CIRCUIT. IN GENERAL, IF TWO CIRCUITS RULE DIFFERENTLY ON A PARTICULAR ISSUE, THE SUPREME COURT WILL REVIEW THE ISSUE TO SETTLE THE DISPUTE. THE APPLICATION OF SUPREME COURT DECISIONS TO EXECUTIVE BRANCH POLICIES IS VIRTUALLY UNDISPUTED: IF A PARTICULAR POLICY IS FOUND UNCONSTITUTIONAL, **3060 OR CONTRARY TO THE STATUTE, THAT DECISION IS BINDING ON THE AGENCY. THE APPROPRIATE APPLICATION OF CIRCUIT AND DISTRICT COURT DECISIONS TO AGENCY POLICIES IS NOT AS CLEAR-CUT.</w:t>
      </w:r>
    </w:p>
    <w:p w14:paraId="450C88CA" w14:textId="77777777" w:rsidR="000D2E8F" w:rsidRPr="000D2E8F" w:rsidRDefault="000D2E8F" w:rsidP="000D2E8F">
      <w:r w:rsidRPr="000D2E8F">
        <w:t>*23 CLAIMANTS FOR BENEFITS UNDER THE SOCIAL SECURITY ACT MAY APPEAL STATE AGENCY DENIALS THROUGH SEVERAL LAYERS OF ADMINISTRATIVE APPEAL, UP THROUGH THE APPEALS COUNCIL. A CLAIMANT WHO WISHES TO CONTINUE TO PURSUE APPEAL MAY NEXT TURN TO THE FEDERAL DISTRICT COURT WITH JURISDICTION OVER HIS OR HER CLAIM. THE DISTRICT COURT REVIEWS THE RECORD AS COMPILED BY THE AGENCY TO DETERMINE WHETHER SUBSTANTIAL EVIDENCE EXISTED FOR THE AGENCY TO DETERMINE WHETHER SUBSTANTIAL EVIDENCE EXISTED FOR THE AGENCY'S DECISION. THE DISTRICT COURT'S REVIEW IS NOT A TRIAL DE VOVO, BUT RATHER IS LIMITED TO A CONSIDERATION OF THE PLEADINGS AND THE TRANSCRIPT OF THE PROCEEDINGS AT THE ALJ HEARING. IF THE DISTRICT COURT FINDS SUBSTANTIAL EVIDENCE EXISTED TO SUPPORT THE AGENCY'S DECISION TO DENY BENEFITS, A CLAIMANT MAY APPEAL THE DECISION TO THE CIRCUIT COURT WITH JURISDICTION, AND ULTIMATELY PETITION THE SUPREME COURT FOR CERTIORARI.</w:t>
      </w:r>
    </w:p>
    <w:p w14:paraId="0CE885A7" w14:textId="77777777" w:rsidR="000D2E8F" w:rsidRPr="000D2E8F" w:rsidRDefault="000D2E8F" w:rsidP="000D2E8F">
      <w:r w:rsidRPr="000D2E8F">
        <w:t>APPEALS OF THE AGENCY'S DETERMINATIONS TO THE FEDERAL DISTRICT COURTS ARE OCCURRING WITH MUCH GREATER FREQUENCY IN RECENT YEARS, IMPOSING A WORKLOAD BURDEN ON SOME DISTRICT COURTS. BETWEEN 1955 AND 1970, THE TOTAL NUMBER OF DISABILITY APPEALS FILED WITH THE FEDERAL DISTRICT COURTS WAS ABOUT 10,000 CASES. IN 1982 ALONE, NEARLY 13,000 DISABILITY CASES WERE APPEALED TO THE DISTRICT COURTS. THE LARGE INCREASE IN FEDERAL COURT LITIGATION ON SOCIAL SECURITY MATTERS MAY BE PARTLY RESPONSIBLE FOR THE PRESENT TENSION BETWEEN SSA AND THE LOWER FEDERAL COURTS.</w:t>
      </w:r>
    </w:p>
    <w:p w14:paraId="4F5C0A18" w14:textId="77777777" w:rsidR="000D2E8F" w:rsidRPr="000D2E8F" w:rsidRDefault="000D2E8F" w:rsidP="000D2E8F">
      <w:r w:rsidRPr="000D2E8F">
        <w:t>MOST DISABILITY CASES DECIDED IN THE FEDERAL COURTS HAVE LITTLE VALUE AS PRECEDENT FOR SSA DECISIONS, SINCE MOST REVERSALS OF AGENCY DETERMINATIONS REST ON THE LACK OF SUBSTANTIAL EVIDENCE FOR THE AGENCY'S POSITION. HOWEVER, IN MANY INSTANCES THE COURT'S OPINION SETS FORTH A STATUTORY INTERPRETATION CONTRARY TO THAT OF THE AGENCY, IN THE TRADITIONAL MANNER IN WHICH FEDERAL COURTS ESTABLISH A RULE OF LAW, WHICH IS INTENDED TO BE BINDING ON THE AGENCY IN LATER CASES CONCERNING THE SAME ISSUE. CIRCUIT COURTS OF APPEALS DECISIONS IN SUCH CASES HAVE BEEN ISSUED WITH INCREASING FREQUENCY IN RECENT YEARS, WITH THE CLEAR EXPECTATION OF THE COURT THAT SSA WOULD ABIDE BY ITS INTERPRETATION AS WOULD NORMALLY BE THE CASE WITH RULINGS HAVING PRECEDENT AS LAW WITHIN THE CIRCUIT.</w:t>
      </w:r>
    </w:p>
    <w:p w14:paraId="18FC1DED" w14:textId="77777777" w:rsidR="000D2E8F" w:rsidRPr="000D2E8F" w:rsidRDefault="000D2E8F" w:rsidP="000D2E8F">
      <w:r w:rsidRPr="000D2E8F">
        <w:t xml:space="preserve">THE SOCIAL SECURITY ADMINISTRATION DOES NOT FOLLOW U.S. COURTS OF APPEALS DECISIONS WITH WHICH IT DISAGREES, EITHER NATIONWIDE OR WITHIN THE CIRCUIT OF THE RULING. WHILE THE AGENCY DOES OBEY THE COURT'S RULING IN THE PARTICULAR CASE BEING </w:t>
      </w:r>
      <w:r w:rsidRPr="000D2E8F">
        <w:lastRenderedPageBreak/>
        <w:t>ADJUDICATED, THE INTERPRETATION OF LAW FROM THE COURT IS NOT CONSIDERED BINDING BY THE AGENCY EITHER FOR STATE DISABILITY AGENCY OPERATIONS OR FOR FEDERAL SOCIAL SECURITY OFFICES.</w:t>
      </w:r>
    </w:p>
    <w:p w14:paraId="1B14D375" w14:textId="77777777" w:rsidR="000D2E8F" w:rsidRPr="000D2E8F" w:rsidRDefault="000D2E8F" w:rsidP="000D2E8F">
      <w:r w:rsidRPr="000D2E8F">
        <w:t>MOREOVER, THE AGENCY FREQUENTLY DOES NOT APPEAL DISTRICT COURT OR CIRCUIT COURT OPINIONS WITH WHICH IT DISAGREES. THIS PRACTICE ENSURES THAT THE SUPREME COURT WILL NOT HAVE THE OPPORTUNITY TO REVIEW THE ISSUE AND RENDER A DECISION WITH WHICH THE AGENCY WOULD BE COMPELLED TO COMPLY. SOCIAL SECURITY ALJ'S ARE NOT ABLE TO FOLLOW COURT OF APPEALS DECISIONS AS PRECEDENT IF THE SUPREME COURT DOES NOT MAKE A RULING OR IF THE AGENCY DOES NOT INCORPORATE THE CIRCUIT COURT'S DECISION IN SOCIAL SECURITY RULINGS OR REGULATIONS, WHICH IS MOST OFTEN THE CASE IN DECISIONS SSA DISAGREES WITH.</w:t>
      </w:r>
    </w:p>
    <w:p w14:paraId="0900F87D" w14:textId="77777777" w:rsidR="000D2E8F" w:rsidRPr="000D2E8F" w:rsidRDefault="000D2E8F" w:rsidP="000D2E8F">
      <w:r w:rsidRPr="000D2E8F">
        <w:t>SSA HAS BEEN CRITICIZED FOR THIS POLICY, BOTH BY OUTSIDE EXPERTS AND FEDERAL JUDGES, ON THE GROUNDS THAT IT UNDERMINES THE STRUCTURE **3061 OF FEDERAL LAW, AND IN ESSENCE ALLOWS SSA TO OVERRULE THE LEGAL JUDGMENT OF THE FEDERAL COURTS BY ADMINISTRATIVE INACTION. *24 SSA DEFENDS ITS POLICY ON THE GROUNDS THAT A FEDERAL BENEFITS PROGRAM SHOULD BE ADMINISTERED UNIFORMLY ON A NATIONAL BASIS. IT SHOULD BE NOTED THAT IN A BRIEF BEFORE THE SUPREME COURT IN CALIFANO V. YAMASAKI (1979) THE BRIEF FOR PETITIONER SECRETARY CALIFANO STATED THE FOLLOWING:</w:t>
      </w:r>
    </w:p>
    <w:p w14:paraId="054983BE" w14:textId="77777777" w:rsidR="000D2E8F" w:rsidRPr="000D2E8F" w:rsidRDefault="000D2E8F" w:rsidP="000D2E8F">
      <w:r w:rsidRPr="000D2E8F">
        <w:t>WHEN A STATUTORY OR CONSTITUTIONAL ISSUE IS DECIDED ADVERSELY TO THE SECRETARY IN THE COURSE OF JUDICIAL REVIEW OBTAINED BY AN INDIVIDUAL CLAIMANT, THE SECRETARY WILL EITHER APPEAL OR ABIDE BY THE UNFAVORABLE RULING. REPETITIOUS LITIGATION WILL THUS NOT BE NECESSARY IN ORDER TO ESTABLISH A GENERAL LEGAL PRINCIPLE APPLICABLE BEYOND THE CONFINES OF A PARTICULAR CASE. STARE DECISIS WILL IMPEL THE SECRETARY TO FOLLOW STATUTORY OR CONSTITUTIONAL DECISIONS WITHIN THE JURISDICTION OF THE COURTS HAVING RENDERED THEM.</w:t>
      </w:r>
    </w:p>
    <w:p w14:paraId="704FC991" w14:textId="77777777" w:rsidR="000D2E8F" w:rsidRPr="000D2E8F" w:rsidRDefault="000D2E8F" w:rsidP="000D2E8F">
      <w:r w:rsidRPr="000D2E8F">
        <w:t>THIS STATEMENT IS IN MARKED CONTRAST TO THE REPEATED INSTANCES BROUGHT TO THE COMMITTEE'S ATTENTION OF SSA'S NON-ACQUIESCENCE POLICY, SUMMED UP IN THE FOLLOWING STATEMENT FROM THE ASSOCIATE COMMISSIONER FOR HEARINGS AND APPEALS ISSUED TO SOCIAL SECURITY ALJ'S IN JANUARY, 1982:</w:t>
      </w:r>
    </w:p>
    <w:p w14:paraId="3FF4ACB2" w14:textId="77777777" w:rsidR="000D2E8F" w:rsidRPr="000D2E8F" w:rsidRDefault="000D2E8F" w:rsidP="000D2E8F">
      <w:r w:rsidRPr="000D2E8F">
        <w:t>THE FEDERAL COURTS DO NOT RUN SSA'S PROGRAMS, AND (SSA'S ADJUDICATORS) ARE RESPONSIBLE FOR APPLYING THE SECRETARY'S POLICIES AND GUIDELINES REGARDLESS OF COURT DECISIONS BELOW THE LEVEL OF THE SUPREME COURT. (SOCIAL SECURITY MEMORANDUM TO ITS ADMINISTRATIVE LAW JUDGES)</w:t>
      </w:r>
    </w:p>
    <w:p w14:paraId="28920D98" w14:textId="77777777" w:rsidR="000D2E8F" w:rsidRPr="000D2E8F" w:rsidRDefault="000D2E8F" w:rsidP="000D2E8F">
      <w:r w:rsidRPr="000D2E8F">
        <w:t xml:space="preserve">SINCE 1978, THERE HAVE ARISEN NUMEROUS CASES IN WHICH CIRCUIT COURTS OF APPEALS HAVE RULED ON ISSUES WHERE THE TITLE II OR XVI STATUTE IS UNSPECIFIC OR SILENT, MOST NOTABLY THE ISSUES OF USE OF ALLEGATIONS OF PAIN IN DISABILITY DETERMINATIONS, AND OF WHETHER A BENEFICIARY WHOSE CONDITION HAS NOT MEDICALLY IMPROVED CAN BE FOUND NOT DISABLED. EVERY CIRCUIT COURT OF APPEALS IN THE COUNTRY WITH THE EXCEPTION OF THE D.C. CIRCUIT HAS RULED THAT SUBJECTIVE EVIDENCE OF PAIN MUST BE ALLOWED IN FINDING CLAIMANTS ELIGIBLE FOR BENEFITS. SEVERAL CIRCUITS, INCLUDING THE NINTH CIRCUIT IN TWO SEPARATE OPINIONS, HAVE RULED THAT SSA MUST SHOW THAT A BENEFICIARY </w:t>
      </w:r>
      <w:r w:rsidRPr="000D2E8F">
        <w:lastRenderedPageBreak/>
        <w:t>HAS MEDICALLY IMPROVED BEFORE RULING HIM NO LONGER DISABLED. IN ALL OF THESE CASES, SSA HAS NOT APPLIED THE COURT INTERPRETATION OF THE STATUTE BEYOND THE LITIGATED CASE, AND HAS NOT PURSUED AN APPEAL TO THE SUPREME COURT.</w:t>
      </w:r>
    </w:p>
    <w:p w14:paraId="06204D66" w14:textId="77777777" w:rsidR="000D2E8F" w:rsidRPr="000D2E8F" w:rsidRDefault="000D2E8F" w:rsidP="000D2E8F">
      <w:r w:rsidRPr="000D2E8F">
        <w:t>THE COMMITTEE IS CONCERNED ABOUT THE RESULT OF THISNON-ACQUIESCENCE POLICY FOR CLAIMANTS, THE COURTS AND SSA. FIRST, WHILE IT IS CLEARLY OF UTMOST IMPORTANCE THAT A FEDERAL PROGRAM BE ADMINISTERED ACCORDING TO UNIFORM, FEDERAL STANDARDS, IT IS NOT CLEAR THAT SSA'S NON-ACQUIESCENCE POLICY SUBSTANTIALLY ACHIEVES THAT END. IN FACT, UNDER THE CURRENT POLICY, DISTINCTIONS EXIST WITHIN CIRCUITS BETWEEN POLICIES APPLIED TO THOSE CLAIMANTS WHO PURSUE THEIR CLAIMS TO THE APPEALS COURT LEVEL, AND THOSE WHO CANNOT. SUCH A DIFFERENCE WILL BE PARTICULARLY SIGNIFICANT IN THOSE WHO CANNOT. SUCH A DIFFERENCE WILL BE PARTICULARLY SIGNIFICANT IN THOSE CIRCUITS WHERE A CLASS ACTION SUIT APPLYING TO SEVERAL THOUSAND CLAIMANTS IS SUCCESSFUL.</w:t>
      </w:r>
    </w:p>
    <w:p w14:paraId="2045F8FB" w14:textId="77777777" w:rsidR="000D2E8F" w:rsidRPr="000D2E8F" w:rsidRDefault="000D2E8F" w:rsidP="000D2E8F">
      <w:r w:rsidRPr="000D2E8F">
        <w:t>THE COMMITTEE IS MOST CONCERNED ABOUT THE IMPACT OF THIS POLICY ON BENEFICIARIES AND CLAIMANTS, AND ON THEIR RELATIONSHIP TO THE **3062 SOCIAL SECURITY PROGRAM. IF A CIRCUIT COURT RULES ON A GIVEN ISSUE SUCH AS MEDICAL IMPROVEMENT, IT IS A FOREGONE CONCLUSION THAT SUBSEQUENT *25 APPEALS TO THAT COURT ON THAT ISSUE WILL BE SUCCESSFUL. BY REFUSING TO APPLY THE CIRCUIT COURT RULING, SSA FORCES BENEFICIARIES AND APPLICANTS TO RE-LITIGATE THE SAME ISSUE OVER AND OVER AGAIN IN THE CIRCUIT, EVEN THOUGH THE AGENCY IS CERTAIN TO LOSE EACH CASE.</w:t>
      </w:r>
    </w:p>
    <w:p w14:paraId="376D6E21" w14:textId="77777777" w:rsidR="000D2E8F" w:rsidRPr="000D2E8F" w:rsidRDefault="000D2E8F" w:rsidP="000D2E8F">
      <w:r w:rsidRPr="000D2E8F">
        <w:t>THE COMMITTEE CAN FIND NO REASON GROUNDED IN SENSIBLE PUBLIC POLICY TO FORCE BENEFICIARIES TO SUE IN ORDER TO OBTAIN WHAT HAS BEEN DECLARED BY THE FEDERAL COURT AS JUSTICE IN A PARTICULAR AREA. SUCH A POLICY CREATES A WHOLLY UNDESIRABLE DISTINCTION BETWEEN THOSE BENEFICIARIES WITH THE RESOURCES AND FORTITUDE TO PURSUE THEIR CLAIMS, AND THOSE WHO ACCEPT THE GOVERNMENT'S ORIGINAL DENIAL IN GOOD FAITH OR BECAUSE THEY LACK THE MEANS TO APPEAL THEIR CASE. THE STRENGTH OF THE SOCIAL SECURITY PROGRAM HAS ALWAYS RESTED ON THE PUBLIC PERCEPTION THAT THE AGENCY'S MISSION IS TO PROVIDE BENEFITS TO ALL THOSE ENTITLED TO THEM, WITHOUT UNDUE DELAY OR BUREAUCRATIC BARRIERS. THE INCREASINGLY ADVERSARIAL CHARACTER OF THE PROCESS FOR BECOMING ELIGIBLE FOR DISABILITY BENEFITS, AND ESPECIALLY FOR RETAINING ELIGIBILITY, DOES IMMEASURABLE HARM TO THE PUBLIC'S TRUST IN THE SOCIAL SECURITY PROGRAM AND IN GOVERNMENT AS A WHOLE.</w:t>
      </w:r>
    </w:p>
    <w:p w14:paraId="7C26C39F" w14:textId="77777777" w:rsidR="000D2E8F" w:rsidRPr="000D2E8F" w:rsidRDefault="000D2E8F" w:rsidP="000D2E8F">
      <w:r w:rsidRPr="000D2E8F">
        <w:t>THE COMMITTEE IS ALSO CONCERNED ABOUT THE INCREASING NUMBER AND INTENSITY OF CONFRONTATIONS BETWEEN THE AGENCY AND THE COURTS AS SSA REFUSES TO APPLY CIRCUIT COURT OPINIONS. THE NINTH CIRCUIT COURT RECENTLY CHARACTERIZED THE SECRETARY'S DEFENSE OF HER NON-ACQUIESCENCE POLICY AS ‘FAR FROM PERSUASIVE. ‘ THE OPINION GOES ON TO STATE:</w:t>
      </w:r>
    </w:p>
    <w:p w14:paraId="762BB095" w14:textId="77777777" w:rsidR="000D2E8F" w:rsidRPr="000D2E8F" w:rsidRDefault="000D2E8F" w:rsidP="000D2E8F">
      <w:r w:rsidRPr="000D2E8F">
        <w:t xml:space="preserve">. . . OTHER CIRCUITS THAT HAVE CONSIDERED THE QUESTION HAVE ALREADY REJECTED THE SECRETARY'S ARGUMENT THAT A FEDERAL AGENCY CAN LEGITIMATELY IGNORE FEDERAL APPEALS COURT PRECEDENTS. SEE, E.G., </w:t>
      </w:r>
      <w:hyperlink r:id="rId4" w:anchor="co_pp_sp_350_33" w:history="1">
        <w:r w:rsidRPr="000D2E8F">
          <w:rPr>
            <w:rStyle w:val="Hyperlink"/>
          </w:rPr>
          <w:t>JONES &amp; LAUGHLIN STEEL CORP. V. MARSHALL, 636 F.2D 32, 33 (3D CIR. 1980)</w:t>
        </w:r>
      </w:hyperlink>
      <w:r w:rsidRPr="000D2E8F">
        <w:t xml:space="preserve">; </w:t>
      </w:r>
      <w:hyperlink r:id="rId5" w:anchor="co_pp_sp_350_43" w:history="1">
        <w:r w:rsidRPr="000D2E8F">
          <w:rPr>
            <w:rStyle w:val="Hyperlink"/>
          </w:rPr>
          <w:t>ITT WORLD COMMUNICATIONS V. FCC, 635 F.2D 32, 43 (2D CIR. 1980)</w:t>
        </w:r>
      </w:hyperlink>
      <w:r w:rsidRPr="000D2E8F">
        <w:t xml:space="preserve">; </w:t>
      </w:r>
      <w:hyperlink r:id="rId6" w:anchor="co_pp_sp_350_228" w:history="1">
        <w:r w:rsidRPr="000D2E8F">
          <w:rPr>
            <w:rStyle w:val="Hyperlink"/>
          </w:rPr>
          <w:t>ITHACA COLLEGE V. NLRB, 623 F.2D 224, 228-29 (2D CIR.)</w:t>
        </w:r>
      </w:hyperlink>
      <w:r w:rsidRPr="000D2E8F">
        <w:t xml:space="preserve">, CERT. DENIED, </w:t>
      </w:r>
      <w:hyperlink r:id="rId7" w:history="1">
        <w:r w:rsidRPr="000D2E8F">
          <w:rPr>
            <w:rStyle w:val="Hyperlink"/>
          </w:rPr>
          <w:t>449 U.S. 975(1980)</w:t>
        </w:r>
      </w:hyperlink>
      <w:r w:rsidRPr="000D2E8F">
        <w:t xml:space="preserve">; </w:t>
      </w:r>
      <w:hyperlink r:id="rId8" w:anchor="co_pp_sp_350_864" w:history="1">
        <w:r w:rsidRPr="000D2E8F">
          <w:rPr>
            <w:rStyle w:val="Hyperlink"/>
          </w:rPr>
          <w:t>MARY THOMPSON HOSPITAL, INC. V. NLRB, 621 F.2D 858, 864 (7TH CIR. 1980)</w:t>
        </w:r>
      </w:hyperlink>
      <w:r w:rsidRPr="000D2E8F">
        <w:t xml:space="preserve">; </w:t>
      </w:r>
      <w:hyperlink r:id="rId9" w:anchor="co_pp_sp_350_970" w:history="1">
        <w:r w:rsidRPr="000D2E8F">
          <w:rPr>
            <w:rStyle w:val="Hyperlink"/>
          </w:rPr>
          <w:t xml:space="preserve">ALLEGHENY </w:t>
        </w:r>
        <w:r w:rsidRPr="000D2E8F">
          <w:rPr>
            <w:rStyle w:val="Hyperlink"/>
          </w:rPr>
          <w:lastRenderedPageBreak/>
          <w:t>GENERAL HOSPITAL V. NLRB, 608 F.2D 965, 970 (3D CIR. 1979)</w:t>
        </w:r>
      </w:hyperlink>
      <w:r w:rsidRPr="000D2E8F">
        <w:t>. MOREOVER, THE CASES CITED BY THE SECRETARY TO SUPPORT HER POSITION APPEAR TO BE INAPPOSITE. IN SHORT, OUR REVIEW OF THE RELEVANT CASE LAW INDICATES THAT THERE IS LITTLE CHANCE THAT THE SECRETARY WILL SUCCEED IN HER ARGUMENT THAT NON-ACQUIESCENCE IS A LEGITIMATE POLICY, OR, TO PUT IT MORE PRECISELY, THAT SHE WILL PERSUADE US THAT THERE IS A STRONG PROBABILITY THAT THE PLAINTIFFS WOULD ULTIMATELY PREVAIL ON THIS FUNDAMENTAL ISSUE.</w:t>
      </w:r>
    </w:p>
    <w:p w14:paraId="05222DDB" w14:textId="77777777" w:rsidR="000D2E8F" w:rsidRPr="000D2E8F" w:rsidRDefault="000D2E8F" w:rsidP="000D2E8F">
      <w:r w:rsidRPr="000D2E8F">
        <w:t>WHILE THE ISSUE OF THE CONSTITUTIONALITY OF THE NON-ACQUIESCENCE POLICY MAY BE IN DOUBT, THE UNDESIRABLE CONSEQUENCES OF ESCALATING HOSTILITY BETWEEN THE FEDERAL COURTS AND THE AGENCY ARE CLEAR. THE COMMITTEE SEES NO COMPELLING REASON WHY THE SOCIAL SECURITY ADMINISTRATION'S INTERPRETATION OF THE STATUTE, PARTICULARLY IN ISSUES WHERE THE DEFINITIONS ARE NOT SPECIFIC OR ARE COMPLETELY SILENT ON THE ISSUE, SHOULD BE AUTOMATICALLY CONSIDERED SUPERIOR TO THAT OF THE FEDERAL COURT.</w:t>
      </w:r>
    </w:p>
    <w:p w14:paraId="0B45E96D" w14:textId="77777777" w:rsidR="000D2E8F" w:rsidRPr="000D2E8F" w:rsidRDefault="000D2E8F" w:rsidP="000D2E8F">
      <w:r w:rsidRPr="000D2E8F">
        <w:t>SSA'S REASONS FOR THE CURRENT POLICY APPEAR TO BE BASED LARGELY ON THE DESIRE FOR CONSISTENT NATIONAL ADMINISTRATION OF THE PROGRAM. IT IS ALSO CLEAR THAT FEDERAL COURTS MAY FREQUENTLY HAND *26 **3063 DOWN DECISIONS EXPANDING AGENCY POLICIES IN DIRECTIONS THE AGENCY AND CONGRESS MAY NOT WISH APPLIED ON A NATIONAL OR REGIONAL BASIS. SINCE THE GUIDING PRINCIPLE FOR FEDERAL COURTS IS THE CONSTITUTION AND THE LAW, POLICY CONSIDERATIONS SUCH AS COST CONSTRAINTS MAY PLAY LESS OF A ROLE THAN THEY APPROPRIATELY DO IN CONGRESSIONAL DELIBERATIONS.</w:t>
      </w:r>
    </w:p>
    <w:p w14:paraId="1418BD49" w14:textId="77777777" w:rsidR="000D2E8F" w:rsidRPr="000D2E8F" w:rsidRDefault="000D2E8F" w:rsidP="000D2E8F">
      <w:r w:rsidRPr="000D2E8F">
        <w:t>IN SUCH INSTANCES, HOWEVER, THE COMMITTEE STRONGLY BELIEVES THAT CONGRESS' JUDGMENT AS TO THE APPROPRIATE POLICY SHOULD PREVAIL. IF THE FEDERAL CIRCUIT COURTS HAND DOWN DECISIONS THAT APPEAR DETRIMENTAL TO THE PURPOSES OR OPERATION OF THE PROGRAM, EITHER THE SUPREME COURT SHOULD BE GIVEN THE OPPORTUNITY TO MAKE A DETERMINATION THAT REMEDIES THE SITUATION, OR CONGRESS MAY WELL HAVE TO CLARIFY THE LAW. IN SUCH CASES, CONGRESS MIGHT REASONABLY EXPECT THE AGENCY TO PROPOSE APPROPRIATE REMEDIAL LEGISLATION. SHORT OF LEGISLATIVE CHANGES, HOWEVER, THE COMMITTEE SEES NO REASON TO ALLOW SSA TO IGNORE THE LAW AS DETERMINED IN EACH CIRCUIT BY THE HIGHEST FEDERAL COURT SIMPLY BECAUSE THE ADMINISTRATORS VIEW THE FEDERAL COURT'S DECISION AS MISTAKEN.</w:t>
      </w:r>
    </w:p>
    <w:p w14:paraId="14226653" w14:textId="77777777" w:rsidR="000D2E8F" w:rsidRPr="000D2E8F" w:rsidRDefault="000D2E8F" w:rsidP="000D2E8F">
      <w:r w:rsidRPr="000D2E8F">
        <w:t>THEREFORE, SECTION 302 OF THE BILL REQUIRES THE SOCIAL SECURITY ADMINISTRATION TO EITHER APPLY THE DECISIONS OF CIRCUIT COURTS OF APPEAL TO AT LEAST ALL BENEFICIARIES RESIDING WITHIN STATES WITHIN THE CIRCUIT, OR APPEAL THE DECISION TO THE SUPREME COURT. THIS PROVISION APPLIES TO CIRCUIT COURT OPINIONS ISSUED AFTER THE DATE OF ENACTMENT AS WELL AS TO THOSE OPINIONS WHICH THE SECRETARY STILL HAS THE OPPORTUNITY TO APPEAL TO THE SUPREME COURT AS OF THE DATE OF ENACTMENT.</w:t>
      </w:r>
    </w:p>
    <w:p w14:paraId="6883BC94" w14:textId="77777777" w:rsidR="000444EF" w:rsidRDefault="000444EF"/>
    <w:sectPr w:rsidR="000444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E8F"/>
    <w:rsid w:val="0002427C"/>
    <w:rsid w:val="000444EF"/>
    <w:rsid w:val="000D2E8F"/>
    <w:rsid w:val="001E1EF0"/>
    <w:rsid w:val="002504FE"/>
    <w:rsid w:val="0035458C"/>
    <w:rsid w:val="006149AE"/>
    <w:rsid w:val="008621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393B2"/>
  <w15:chartTrackingRefBased/>
  <w15:docId w15:val="{A1395524-2CC8-4B47-9CA8-E1834167C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2E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2E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2E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2E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2E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2E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2E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2E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2E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2E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2E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2E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2E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2E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2E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2E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2E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2E8F"/>
    <w:rPr>
      <w:rFonts w:eastAsiaTheme="majorEastAsia" w:cstheme="majorBidi"/>
      <w:color w:val="272727" w:themeColor="text1" w:themeTint="D8"/>
    </w:rPr>
  </w:style>
  <w:style w:type="paragraph" w:styleId="Title">
    <w:name w:val="Title"/>
    <w:basedOn w:val="Normal"/>
    <w:next w:val="Normal"/>
    <w:link w:val="TitleChar"/>
    <w:uiPriority w:val="10"/>
    <w:qFormat/>
    <w:rsid w:val="000D2E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2E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2E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2E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2E8F"/>
    <w:pPr>
      <w:spacing w:before="160"/>
      <w:jc w:val="center"/>
    </w:pPr>
    <w:rPr>
      <w:i/>
      <w:iCs/>
      <w:color w:val="404040" w:themeColor="text1" w:themeTint="BF"/>
    </w:rPr>
  </w:style>
  <w:style w:type="character" w:customStyle="1" w:styleId="QuoteChar">
    <w:name w:val="Quote Char"/>
    <w:basedOn w:val="DefaultParagraphFont"/>
    <w:link w:val="Quote"/>
    <w:uiPriority w:val="29"/>
    <w:rsid w:val="000D2E8F"/>
    <w:rPr>
      <w:i/>
      <w:iCs/>
      <w:color w:val="404040" w:themeColor="text1" w:themeTint="BF"/>
    </w:rPr>
  </w:style>
  <w:style w:type="paragraph" w:styleId="ListParagraph">
    <w:name w:val="List Paragraph"/>
    <w:basedOn w:val="Normal"/>
    <w:uiPriority w:val="34"/>
    <w:qFormat/>
    <w:rsid w:val="000D2E8F"/>
    <w:pPr>
      <w:ind w:left="720"/>
      <w:contextualSpacing/>
    </w:pPr>
  </w:style>
  <w:style w:type="character" w:styleId="IntenseEmphasis">
    <w:name w:val="Intense Emphasis"/>
    <w:basedOn w:val="DefaultParagraphFont"/>
    <w:uiPriority w:val="21"/>
    <w:qFormat/>
    <w:rsid w:val="000D2E8F"/>
    <w:rPr>
      <w:i/>
      <w:iCs/>
      <w:color w:val="0F4761" w:themeColor="accent1" w:themeShade="BF"/>
    </w:rPr>
  </w:style>
  <w:style w:type="paragraph" w:styleId="IntenseQuote">
    <w:name w:val="Intense Quote"/>
    <w:basedOn w:val="Normal"/>
    <w:next w:val="Normal"/>
    <w:link w:val="IntenseQuoteChar"/>
    <w:uiPriority w:val="30"/>
    <w:qFormat/>
    <w:rsid w:val="000D2E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2E8F"/>
    <w:rPr>
      <w:i/>
      <w:iCs/>
      <w:color w:val="0F4761" w:themeColor="accent1" w:themeShade="BF"/>
    </w:rPr>
  </w:style>
  <w:style w:type="character" w:styleId="IntenseReference">
    <w:name w:val="Intense Reference"/>
    <w:basedOn w:val="DefaultParagraphFont"/>
    <w:uiPriority w:val="32"/>
    <w:qFormat/>
    <w:rsid w:val="000D2E8F"/>
    <w:rPr>
      <w:b/>
      <w:bCs/>
      <w:smallCaps/>
      <w:color w:val="0F4761" w:themeColor="accent1" w:themeShade="BF"/>
      <w:spacing w:val="5"/>
    </w:rPr>
  </w:style>
  <w:style w:type="character" w:styleId="Hyperlink">
    <w:name w:val="Hyperlink"/>
    <w:basedOn w:val="DefaultParagraphFont"/>
    <w:uiPriority w:val="99"/>
    <w:unhideWhenUsed/>
    <w:rsid w:val="000D2E8F"/>
    <w:rPr>
      <w:color w:val="467886" w:themeColor="hyperlink"/>
      <w:u w:val="single"/>
    </w:rPr>
  </w:style>
  <w:style w:type="character" w:styleId="UnresolvedMention">
    <w:name w:val="Unresolved Mention"/>
    <w:basedOn w:val="DefaultParagraphFont"/>
    <w:uiPriority w:val="99"/>
    <w:semiHidden/>
    <w:unhideWhenUsed/>
    <w:rsid w:val="000D2E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2804944">
      <w:bodyDiv w:val="1"/>
      <w:marLeft w:val="0"/>
      <w:marRight w:val="0"/>
      <w:marTop w:val="0"/>
      <w:marBottom w:val="0"/>
      <w:divBdr>
        <w:top w:val="none" w:sz="0" w:space="0" w:color="auto"/>
        <w:left w:val="none" w:sz="0" w:space="0" w:color="auto"/>
        <w:bottom w:val="none" w:sz="0" w:space="0" w:color="auto"/>
        <w:right w:val="none" w:sz="0" w:space="0" w:color="auto"/>
      </w:divBdr>
      <w:divsChild>
        <w:div w:id="37824257">
          <w:marLeft w:val="0"/>
          <w:marRight w:val="0"/>
          <w:marTop w:val="0"/>
          <w:marBottom w:val="0"/>
          <w:divBdr>
            <w:top w:val="none" w:sz="0" w:space="0" w:color="auto"/>
            <w:left w:val="none" w:sz="0" w:space="0" w:color="auto"/>
            <w:bottom w:val="none" w:sz="0" w:space="0" w:color="auto"/>
            <w:right w:val="none" w:sz="0" w:space="0" w:color="auto"/>
          </w:divBdr>
        </w:div>
        <w:div w:id="1614744129">
          <w:marLeft w:val="0"/>
          <w:marRight w:val="0"/>
          <w:marTop w:val="0"/>
          <w:marBottom w:val="0"/>
          <w:divBdr>
            <w:top w:val="none" w:sz="0" w:space="0" w:color="auto"/>
            <w:left w:val="none" w:sz="0" w:space="0" w:color="auto"/>
            <w:bottom w:val="none" w:sz="0" w:space="0" w:color="auto"/>
            <w:right w:val="none" w:sz="0" w:space="0" w:color="auto"/>
          </w:divBdr>
          <w:divsChild>
            <w:div w:id="1973945624">
              <w:marLeft w:val="0"/>
              <w:marRight w:val="0"/>
              <w:marTop w:val="0"/>
              <w:marBottom w:val="0"/>
              <w:divBdr>
                <w:top w:val="none" w:sz="0" w:space="0" w:color="auto"/>
                <w:left w:val="none" w:sz="0" w:space="0" w:color="auto"/>
                <w:bottom w:val="none" w:sz="0" w:space="0" w:color="auto"/>
                <w:right w:val="none" w:sz="0" w:space="0" w:color="auto"/>
              </w:divBdr>
            </w:div>
          </w:divsChild>
        </w:div>
        <w:div w:id="1551962250">
          <w:marLeft w:val="0"/>
          <w:marRight w:val="0"/>
          <w:marTop w:val="0"/>
          <w:marBottom w:val="0"/>
          <w:divBdr>
            <w:top w:val="none" w:sz="0" w:space="0" w:color="auto"/>
            <w:left w:val="none" w:sz="0" w:space="0" w:color="auto"/>
            <w:bottom w:val="none" w:sz="0" w:space="0" w:color="auto"/>
            <w:right w:val="none" w:sz="0" w:space="0" w:color="auto"/>
          </w:divBdr>
          <w:divsChild>
            <w:div w:id="1932471155">
              <w:marLeft w:val="0"/>
              <w:marRight w:val="0"/>
              <w:marTop w:val="0"/>
              <w:marBottom w:val="0"/>
              <w:divBdr>
                <w:top w:val="none" w:sz="0" w:space="0" w:color="auto"/>
                <w:left w:val="none" w:sz="0" w:space="0" w:color="auto"/>
                <w:bottom w:val="none" w:sz="0" w:space="0" w:color="auto"/>
                <w:right w:val="none" w:sz="0" w:space="0" w:color="auto"/>
              </w:divBdr>
            </w:div>
          </w:divsChild>
        </w:div>
        <w:div w:id="1914047815">
          <w:marLeft w:val="0"/>
          <w:marRight w:val="0"/>
          <w:marTop w:val="0"/>
          <w:marBottom w:val="0"/>
          <w:divBdr>
            <w:top w:val="none" w:sz="0" w:space="0" w:color="auto"/>
            <w:left w:val="none" w:sz="0" w:space="0" w:color="auto"/>
            <w:bottom w:val="none" w:sz="0" w:space="0" w:color="auto"/>
            <w:right w:val="none" w:sz="0" w:space="0" w:color="auto"/>
          </w:divBdr>
          <w:divsChild>
            <w:div w:id="340668399">
              <w:marLeft w:val="0"/>
              <w:marRight w:val="0"/>
              <w:marTop w:val="0"/>
              <w:marBottom w:val="0"/>
              <w:divBdr>
                <w:top w:val="none" w:sz="0" w:space="0" w:color="auto"/>
                <w:left w:val="none" w:sz="0" w:space="0" w:color="auto"/>
                <w:bottom w:val="none" w:sz="0" w:space="0" w:color="auto"/>
                <w:right w:val="none" w:sz="0" w:space="0" w:color="auto"/>
              </w:divBdr>
            </w:div>
          </w:divsChild>
        </w:div>
        <w:div w:id="1214729447">
          <w:marLeft w:val="0"/>
          <w:marRight w:val="0"/>
          <w:marTop w:val="0"/>
          <w:marBottom w:val="0"/>
          <w:divBdr>
            <w:top w:val="none" w:sz="0" w:space="0" w:color="auto"/>
            <w:left w:val="none" w:sz="0" w:space="0" w:color="auto"/>
            <w:bottom w:val="none" w:sz="0" w:space="0" w:color="auto"/>
            <w:right w:val="none" w:sz="0" w:space="0" w:color="auto"/>
          </w:divBdr>
          <w:divsChild>
            <w:div w:id="1567567810">
              <w:marLeft w:val="0"/>
              <w:marRight w:val="0"/>
              <w:marTop w:val="0"/>
              <w:marBottom w:val="0"/>
              <w:divBdr>
                <w:top w:val="none" w:sz="0" w:space="0" w:color="auto"/>
                <w:left w:val="none" w:sz="0" w:space="0" w:color="auto"/>
                <w:bottom w:val="none" w:sz="0" w:space="0" w:color="auto"/>
                <w:right w:val="none" w:sz="0" w:space="0" w:color="auto"/>
              </w:divBdr>
            </w:div>
          </w:divsChild>
        </w:div>
        <w:div w:id="1635600734">
          <w:marLeft w:val="0"/>
          <w:marRight w:val="0"/>
          <w:marTop w:val="0"/>
          <w:marBottom w:val="0"/>
          <w:divBdr>
            <w:top w:val="none" w:sz="0" w:space="0" w:color="auto"/>
            <w:left w:val="none" w:sz="0" w:space="0" w:color="auto"/>
            <w:bottom w:val="none" w:sz="0" w:space="0" w:color="auto"/>
            <w:right w:val="none" w:sz="0" w:space="0" w:color="auto"/>
          </w:divBdr>
          <w:divsChild>
            <w:div w:id="1790392199">
              <w:marLeft w:val="0"/>
              <w:marRight w:val="0"/>
              <w:marTop w:val="0"/>
              <w:marBottom w:val="0"/>
              <w:divBdr>
                <w:top w:val="none" w:sz="0" w:space="0" w:color="auto"/>
                <w:left w:val="none" w:sz="0" w:space="0" w:color="auto"/>
                <w:bottom w:val="none" w:sz="0" w:space="0" w:color="auto"/>
                <w:right w:val="none" w:sz="0" w:space="0" w:color="auto"/>
              </w:divBdr>
            </w:div>
          </w:divsChild>
        </w:div>
        <w:div w:id="627469152">
          <w:marLeft w:val="0"/>
          <w:marRight w:val="0"/>
          <w:marTop w:val="0"/>
          <w:marBottom w:val="0"/>
          <w:divBdr>
            <w:top w:val="none" w:sz="0" w:space="0" w:color="auto"/>
            <w:left w:val="none" w:sz="0" w:space="0" w:color="auto"/>
            <w:bottom w:val="none" w:sz="0" w:space="0" w:color="auto"/>
            <w:right w:val="none" w:sz="0" w:space="0" w:color="auto"/>
          </w:divBdr>
          <w:divsChild>
            <w:div w:id="1189370444">
              <w:marLeft w:val="0"/>
              <w:marRight w:val="0"/>
              <w:marTop w:val="0"/>
              <w:marBottom w:val="0"/>
              <w:divBdr>
                <w:top w:val="none" w:sz="0" w:space="0" w:color="auto"/>
                <w:left w:val="none" w:sz="0" w:space="0" w:color="auto"/>
                <w:bottom w:val="none" w:sz="0" w:space="0" w:color="auto"/>
                <w:right w:val="none" w:sz="0" w:space="0" w:color="auto"/>
              </w:divBdr>
            </w:div>
          </w:divsChild>
        </w:div>
        <w:div w:id="1907495425">
          <w:marLeft w:val="0"/>
          <w:marRight w:val="0"/>
          <w:marTop w:val="0"/>
          <w:marBottom w:val="0"/>
          <w:divBdr>
            <w:top w:val="none" w:sz="0" w:space="0" w:color="auto"/>
            <w:left w:val="none" w:sz="0" w:space="0" w:color="auto"/>
            <w:bottom w:val="none" w:sz="0" w:space="0" w:color="auto"/>
            <w:right w:val="none" w:sz="0" w:space="0" w:color="auto"/>
          </w:divBdr>
          <w:divsChild>
            <w:div w:id="1819881034">
              <w:marLeft w:val="0"/>
              <w:marRight w:val="0"/>
              <w:marTop w:val="0"/>
              <w:marBottom w:val="0"/>
              <w:divBdr>
                <w:top w:val="none" w:sz="0" w:space="0" w:color="auto"/>
                <w:left w:val="none" w:sz="0" w:space="0" w:color="auto"/>
                <w:bottom w:val="none" w:sz="0" w:space="0" w:color="auto"/>
                <w:right w:val="none" w:sz="0" w:space="0" w:color="auto"/>
              </w:divBdr>
            </w:div>
          </w:divsChild>
        </w:div>
        <w:div w:id="628509856">
          <w:marLeft w:val="0"/>
          <w:marRight w:val="0"/>
          <w:marTop w:val="0"/>
          <w:marBottom w:val="0"/>
          <w:divBdr>
            <w:top w:val="none" w:sz="0" w:space="0" w:color="auto"/>
            <w:left w:val="none" w:sz="0" w:space="0" w:color="auto"/>
            <w:bottom w:val="none" w:sz="0" w:space="0" w:color="auto"/>
            <w:right w:val="none" w:sz="0" w:space="0" w:color="auto"/>
          </w:divBdr>
          <w:divsChild>
            <w:div w:id="1325158370">
              <w:marLeft w:val="0"/>
              <w:marRight w:val="0"/>
              <w:marTop w:val="0"/>
              <w:marBottom w:val="0"/>
              <w:divBdr>
                <w:top w:val="none" w:sz="0" w:space="0" w:color="auto"/>
                <w:left w:val="none" w:sz="0" w:space="0" w:color="auto"/>
                <w:bottom w:val="none" w:sz="0" w:space="0" w:color="auto"/>
                <w:right w:val="none" w:sz="0" w:space="0" w:color="auto"/>
              </w:divBdr>
            </w:div>
          </w:divsChild>
        </w:div>
        <w:div w:id="735322375">
          <w:marLeft w:val="0"/>
          <w:marRight w:val="0"/>
          <w:marTop w:val="0"/>
          <w:marBottom w:val="0"/>
          <w:divBdr>
            <w:top w:val="none" w:sz="0" w:space="0" w:color="auto"/>
            <w:left w:val="none" w:sz="0" w:space="0" w:color="auto"/>
            <w:bottom w:val="none" w:sz="0" w:space="0" w:color="auto"/>
            <w:right w:val="none" w:sz="0" w:space="0" w:color="auto"/>
          </w:divBdr>
          <w:divsChild>
            <w:div w:id="951279977">
              <w:marLeft w:val="0"/>
              <w:marRight w:val="0"/>
              <w:marTop w:val="0"/>
              <w:marBottom w:val="0"/>
              <w:divBdr>
                <w:top w:val="none" w:sz="0" w:space="0" w:color="auto"/>
                <w:left w:val="none" w:sz="0" w:space="0" w:color="auto"/>
                <w:bottom w:val="none" w:sz="0" w:space="0" w:color="auto"/>
                <w:right w:val="none" w:sz="0" w:space="0" w:color="auto"/>
              </w:divBdr>
            </w:div>
          </w:divsChild>
        </w:div>
        <w:div w:id="2131236924">
          <w:marLeft w:val="0"/>
          <w:marRight w:val="0"/>
          <w:marTop w:val="0"/>
          <w:marBottom w:val="0"/>
          <w:divBdr>
            <w:top w:val="none" w:sz="0" w:space="0" w:color="auto"/>
            <w:left w:val="none" w:sz="0" w:space="0" w:color="auto"/>
            <w:bottom w:val="none" w:sz="0" w:space="0" w:color="auto"/>
            <w:right w:val="none" w:sz="0" w:space="0" w:color="auto"/>
          </w:divBdr>
          <w:divsChild>
            <w:div w:id="654646257">
              <w:marLeft w:val="0"/>
              <w:marRight w:val="0"/>
              <w:marTop w:val="0"/>
              <w:marBottom w:val="0"/>
              <w:divBdr>
                <w:top w:val="none" w:sz="0" w:space="0" w:color="auto"/>
                <w:left w:val="none" w:sz="0" w:space="0" w:color="auto"/>
                <w:bottom w:val="none" w:sz="0" w:space="0" w:color="auto"/>
                <w:right w:val="none" w:sz="0" w:space="0" w:color="auto"/>
              </w:divBdr>
            </w:div>
          </w:divsChild>
        </w:div>
        <w:div w:id="1013722596">
          <w:marLeft w:val="0"/>
          <w:marRight w:val="0"/>
          <w:marTop w:val="0"/>
          <w:marBottom w:val="0"/>
          <w:divBdr>
            <w:top w:val="none" w:sz="0" w:space="0" w:color="auto"/>
            <w:left w:val="none" w:sz="0" w:space="0" w:color="auto"/>
            <w:bottom w:val="none" w:sz="0" w:space="0" w:color="auto"/>
            <w:right w:val="none" w:sz="0" w:space="0" w:color="auto"/>
          </w:divBdr>
          <w:divsChild>
            <w:div w:id="989213751">
              <w:marLeft w:val="0"/>
              <w:marRight w:val="0"/>
              <w:marTop w:val="0"/>
              <w:marBottom w:val="0"/>
              <w:divBdr>
                <w:top w:val="none" w:sz="0" w:space="0" w:color="auto"/>
                <w:left w:val="none" w:sz="0" w:space="0" w:color="auto"/>
                <w:bottom w:val="none" w:sz="0" w:space="0" w:color="auto"/>
                <w:right w:val="none" w:sz="0" w:space="0" w:color="auto"/>
              </w:divBdr>
            </w:div>
          </w:divsChild>
        </w:div>
        <w:div w:id="25911496">
          <w:marLeft w:val="0"/>
          <w:marRight w:val="0"/>
          <w:marTop w:val="0"/>
          <w:marBottom w:val="0"/>
          <w:divBdr>
            <w:top w:val="none" w:sz="0" w:space="0" w:color="auto"/>
            <w:left w:val="none" w:sz="0" w:space="0" w:color="auto"/>
            <w:bottom w:val="none" w:sz="0" w:space="0" w:color="auto"/>
            <w:right w:val="none" w:sz="0" w:space="0" w:color="auto"/>
          </w:divBdr>
          <w:divsChild>
            <w:div w:id="554128046">
              <w:marLeft w:val="0"/>
              <w:marRight w:val="0"/>
              <w:marTop w:val="0"/>
              <w:marBottom w:val="0"/>
              <w:divBdr>
                <w:top w:val="none" w:sz="0" w:space="0" w:color="auto"/>
                <w:left w:val="none" w:sz="0" w:space="0" w:color="auto"/>
                <w:bottom w:val="none" w:sz="0" w:space="0" w:color="auto"/>
                <w:right w:val="none" w:sz="0" w:space="0" w:color="auto"/>
              </w:divBdr>
            </w:div>
          </w:divsChild>
        </w:div>
        <w:div w:id="1978219074">
          <w:marLeft w:val="0"/>
          <w:marRight w:val="0"/>
          <w:marTop w:val="0"/>
          <w:marBottom w:val="0"/>
          <w:divBdr>
            <w:top w:val="none" w:sz="0" w:space="0" w:color="auto"/>
            <w:left w:val="none" w:sz="0" w:space="0" w:color="auto"/>
            <w:bottom w:val="none" w:sz="0" w:space="0" w:color="auto"/>
            <w:right w:val="none" w:sz="0" w:space="0" w:color="auto"/>
          </w:divBdr>
          <w:divsChild>
            <w:div w:id="107550725">
              <w:marLeft w:val="0"/>
              <w:marRight w:val="0"/>
              <w:marTop w:val="0"/>
              <w:marBottom w:val="0"/>
              <w:divBdr>
                <w:top w:val="none" w:sz="0" w:space="0" w:color="auto"/>
                <w:left w:val="none" w:sz="0" w:space="0" w:color="auto"/>
                <w:bottom w:val="none" w:sz="0" w:space="0" w:color="auto"/>
                <w:right w:val="none" w:sz="0" w:space="0" w:color="auto"/>
              </w:divBdr>
            </w:div>
          </w:divsChild>
        </w:div>
        <w:div w:id="1026324108">
          <w:marLeft w:val="0"/>
          <w:marRight w:val="0"/>
          <w:marTop w:val="0"/>
          <w:marBottom w:val="0"/>
          <w:divBdr>
            <w:top w:val="none" w:sz="0" w:space="0" w:color="auto"/>
            <w:left w:val="none" w:sz="0" w:space="0" w:color="auto"/>
            <w:bottom w:val="none" w:sz="0" w:space="0" w:color="auto"/>
            <w:right w:val="none" w:sz="0" w:space="0" w:color="auto"/>
          </w:divBdr>
          <w:divsChild>
            <w:div w:id="106317664">
              <w:marLeft w:val="0"/>
              <w:marRight w:val="0"/>
              <w:marTop w:val="0"/>
              <w:marBottom w:val="0"/>
              <w:divBdr>
                <w:top w:val="none" w:sz="0" w:space="0" w:color="auto"/>
                <w:left w:val="none" w:sz="0" w:space="0" w:color="auto"/>
                <w:bottom w:val="none" w:sz="0" w:space="0" w:color="auto"/>
                <w:right w:val="none" w:sz="0" w:space="0" w:color="auto"/>
              </w:divBdr>
            </w:div>
          </w:divsChild>
        </w:div>
        <w:div w:id="914244685">
          <w:marLeft w:val="0"/>
          <w:marRight w:val="0"/>
          <w:marTop w:val="0"/>
          <w:marBottom w:val="0"/>
          <w:divBdr>
            <w:top w:val="none" w:sz="0" w:space="0" w:color="auto"/>
            <w:left w:val="none" w:sz="0" w:space="0" w:color="auto"/>
            <w:bottom w:val="none" w:sz="0" w:space="0" w:color="auto"/>
            <w:right w:val="none" w:sz="0" w:space="0" w:color="auto"/>
          </w:divBdr>
          <w:divsChild>
            <w:div w:id="1905985831">
              <w:marLeft w:val="0"/>
              <w:marRight w:val="0"/>
              <w:marTop w:val="0"/>
              <w:marBottom w:val="0"/>
              <w:divBdr>
                <w:top w:val="none" w:sz="0" w:space="0" w:color="auto"/>
                <w:left w:val="none" w:sz="0" w:space="0" w:color="auto"/>
                <w:bottom w:val="none" w:sz="0" w:space="0" w:color="auto"/>
                <w:right w:val="none" w:sz="0" w:space="0" w:color="auto"/>
              </w:divBdr>
            </w:div>
          </w:divsChild>
        </w:div>
        <w:div w:id="189419052">
          <w:marLeft w:val="0"/>
          <w:marRight w:val="0"/>
          <w:marTop w:val="0"/>
          <w:marBottom w:val="0"/>
          <w:divBdr>
            <w:top w:val="none" w:sz="0" w:space="0" w:color="auto"/>
            <w:left w:val="none" w:sz="0" w:space="0" w:color="auto"/>
            <w:bottom w:val="none" w:sz="0" w:space="0" w:color="auto"/>
            <w:right w:val="none" w:sz="0" w:space="0" w:color="auto"/>
          </w:divBdr>
          <w:divsChild>
            <w:div w:id="1742369420">
              <w:marLeft w:val="0"/>
              <w:marRight w:val="0"/>
              <w:marTop w:val="0"/>
              <w:marBottom w:val="0"/>
              <w:divBdr>
                <w:top w:val="none" w:sz="0" w:space="0" w:color="auto"/>
                <w:left w:val="none" w:sz="0" w:space="0" w:color="auto"/>
                <w:bottom w:val="none" w:sz="0" w:space="0" w:color="auto"/>
                <w:right w:val="none" w:sz="0" w:space="0" w:color="auto"/>
              </w:divBdr>
            </w:div>
          </w:divsChild>
        </w:div>
        <w:div w:id="897864140">
          <w:marLeft w:val="0"/>
          <w:marRight w:val="0"/>
          <w:marTop w:val="0"/>
          <w:marBottom w:val="0"/>
          <w:divBdr>
            <w:top w:val="none" w:sz="0" w:space="0" w:color="auto"/>
            <w:left w:val="none" w:sz="0" w:space="0" w:color="auto"/>
            <w:bottom w:val="none" w:sz="0" w:space="0" w:color="auto"/>
            <w:right w:val="none" w:sz="0" w:space="0" w:color="auto"/>
          </w:divBdr>
          <w:divsChild>
            <w:div w:id="2120953253">
              <w:marLeft w:val="0"/>
              <w:marRight w:val="0"/>
              <w:marTop w:val="0"/>
              <w:marBottom w:val="0"/>
              <w:divBdr>
                <w:top w:val="none" w:sz="0" w:space="0" w:color="auto"/>
                <w:left w:val="none" w:sz="0" w:space="0" w:color="auto"/>
                <w:bottom w:val="none" w:sz="0" w:space="0" w:color="auto"/>
                <w:right w:val="none" w:sz="0" w:space="0" w:color="auto"/>
              </w:divBdr>
            </w:div>
          </w:divsChild>
        </w:div>
        <w:div w:id="898438692">
          <w:marLeft w:val="0"/>
          <w:marRight w:val="0"/>
          <w:marTop w:val="0"/>
          <w:marBottom w:val="0"/>
          <w:divBdr>
            <w:top w:val="none" w:sz="0" w:space="0" w:color="auto"/>
            <w:left w:val="none" w:sz="0" w:space="0" w:color="auto"/>
            <w:bottom w:val="none" w:sz="0" w:space="0" w:color="auto"/>
            <w:right w:val="none" w:sz="0" w:space="0" w:color="auto"/>
          </w:divBdr>
          <w:divsChild>
            <w:div w:id="622659376">
              <w:marLeft w:val="0"/>
              <w:marRight w:val="0"/>
              <w:marTop w:val="0"/>
              <w:marBottom w:val="0"/>
              <w:divBdr>
                <w:top w:val="none" w:sz="0" w:space="0" w:color="auto"/>
                <w:left w:val="none" w:sz="0" w:space="0" w:color="auto"/>
                <w:bottom w:val="none" w:sz="0" w:space="0" w:color="auto"/>
                <w:right w:val="none" w:sz="0" w:space="0" w:color="auto"/>
              </w:divBdr>
            </w:div>
          </w:divsChild>
        </w:div>
        <w:div w:id="117114314">
          <w:marLeft w:val="0"/>
          <w:marRight w:val="0"/>
          <w:marTop w:val="0"/>
          <w:marBottom w:val="0"/>
          <w:divBdr>
            <w:top w:val="none" w:sz="0" w:space="0" w:color="auto"/>
            <w:left w:val="none" w:sz="0" w:space="0" w:color="auto"/>
            <w:bottom w:val="none" w:sz="0" w:space="0" w:color="auto"/>
            <w:right w:val="none" w:sz="0" w:space="0" w:color="auto"/>
          </w:divBdr>
          <w:divsChild>
            <w:div w:id="1756585227">
              <w:marLeft w:val="0"/>
              <w:marRight w:val="0"/>
              <w:marTop w:val="0"/>
              <w:marBottom w:val="0"/>
              <w:divBdr>
                <w:top w:val="none" w:sz="0" w:space="0" w:color="auto"/>
                <w:left w:val="none" w:sz="0" w:space="0" w:color="auto"/>
                <w:bottom w:val="none" w:sz="0" w:space="0" w:color="auto"/>
                <w:right w:val="none" w:sz="0" w:space="0" w:color="auto"/>
              </w:divBdr>
            </w:div>
          </w:divsChild>
        </w:div>
        <w:div w:id="1628271462">
          <w:marLeft w:val="0"/>
          <w:marRight w:val="0"/>
          <w:marTop w:val="0"/>
          <w:marBottom w:val="0"/>
          <w:divBdr>
            <w:top w:val="none" w:sz="0" w:space="0" w:color="auto"/>
            <w:left w:val="none" w:sz="0" w:space="0" w:color="auto"/>
            <w:bottom w:val="none" w:sz="0" w:space="0" w:color="auto"/>
            <w:right w:val="none" w:sz="0" w:space="0" w:color="auto"/>
          </w:divBdr>
          <w:divsChild>
            <w:div w:id="24989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125690">
      <w:bodyDiv w:val="1"/>
      <w:marLeft w:val="0"/>
      <w:marRight w:val="0"/>
      <w:marTop w:val="0"/>
      <w:marBottom w:val="0"/>
      <w:divBdr>
        <w:top w:val="none" w:sz="0" w:space="0" w:color="auto"/>
        <w:left w:val="none" w:sz="0" w:space="0" w:color="auto"/>
        <w:bottom w:val="none" w:sz="0" w:space="0" w:color="auto"/>
        <w:right w:val="none" w:sz="0" w:space="0" w:color="auto"/>
      </w:divBdr>
      <w:divsChild>
        <w:div w:id="731733564">
          <w:marLeft w:val="0"/>
          <w:marRight w:val="0"/>
          <w:marTop w:val="0"/>
          <w:marBottom w:val="0"/>
          <w:divBdr>
            <w:top w:val="none" w:sz="0" w:space="0" w:color="auto"/>
            <w:left w:val="none" w:sz="0" w:space="0" w:color="auto"/>
            <w:bottom w:val="none" w:sz="0" w:space="0" w:color="auto"/>
            <w:right w:val="none" w:sz="0" w:space="0" w:color="auto"/>
          </w:divBdr>
        </w:div>
        <w:div w:id="555894800">
          <w:marLeft w:val="0"/>
          <w:marRight w:val="0"/>
          <w:marTop w:val="0"/>
          <w:marBottom w:val="0"/>
          <w:divBdr>
            <w:top w:val="none" w:sz="0" w:space="0" w:color="auto"/>
            <w:left w:val="none" w:sz="0" w:space="0" w:color="auto"/>
            <w:bottom w:val="none" w:sz="0" w:space="0" w:color="auto"/>
            <w:right w:val="none" w:sz="0" w:space="0" w:color="auto"/>
          </w:divBdr>
          <w:divsChild>
            <w:div w:id="1467049298">
              <w:marLeft w:val="0"/>
              <w:marRight w:val="0"/>
              <w:marTop w:val="0"/>
              <w:marBottom w:val="0"/>
              <w:divBdr>
                <w:top w:val="none" w:sz="0" w:space="0" w:color="auto"/>
                <w:left w:val="none" w:sz="0" w:space="0" w:color="auto"/>
                <w:bottom w:val="none" w:sz="0" w:space="0" w:color="auto"/>
                <w:right w:val="none" w:sz="0" w:space="0" w:color="auto"/>
              </w:divBdr>
            </w:div>
          </w:divsChild>
        </w:div>
        <w:div w:id="1444962476">
          <w:marLeft w:val="0"/>
          <w:marRight w:val="0"/>
          <w:marTop w:val="0"/>
          <w:marBottom w:val="0"/>
          <w:divBdr>
            <w:top w:val="none" w:sz="0" w:space="0" w:color="auto"/>
            <w:left w:val="none" w:sz="0" w:space="0" w:color="auto"/>
            <w:bottom w:val="none" w:sz="0" w:space="0" w:color="auto"/>
            <w:right w:val="none" w:sz="0" w:space="0" w:color="auto"/>
          </w:divBdr>
          <w:divsChild>
            <w:div w:id="489904196">
              <w:marLeft w:val="0"/>
              <w:marRight w:val="0"/>
              <w:marTop w:val="0"/>
              <w:marBottom w:val="0"/>
              <w:divBdr>
                <w:top w:val="none" w:sz="0" w:space="0" w:color="auto"/>
                <w:left w:val="none" w:sz="0" w:space="0" w:color="auto"/>
                <w:bottom w:val="none" w:sz="0" w:space="0" w:color="auto"/>
                <w:right w:val="none" w:sz="0" w:space="0" w:color="auto"/>
              </w:divBdr>
            </w:div>
          </w:divsChild>
        </w:div>
        <w:div w:id="1848905227">
          <w:marLeft w:val="0"/>
          <w:marRight w:val="0"/>
          <w:marTop w:val="0"/>
          <w:marBottom w:val="0"/>
          <w:divBdr>
            <w:top w:val="none" w:sz="0" w:space="0" w:color="auto"/>
            <w:left w:val="none" w:sz="0" w:space="0" w:color="auto"/>
            <w:bottom w:val="none" w:sz="0" w:space="0" w:color="auto"/>
            <w:right w:val="none" w:sz="0" w:space="0" w:color="auto"/>
          </w:divBdr>
          <w:divsChild>
            <w:div w:id="1136530526">
              <w:marLeft w:val="0"/>
              <w:marRight w:val="0"/>
              <w:marTop w:val="0"/>
              <w:marBottom w:val="0"/>
              <w:divBdr>
                <w:top w:val="none" w:sz="0" w:space="0" w:color="auto"/>
                <w:left w:val="none" w:sz="0" w:space="0" w:color="auto"/>
                <w:bottom w:val="none" w:sz="0" w:space="0" w:color="auto"/>
                <w:right w:val="none" w:sz="0" w:space="0" w:color="auto"/>
              </w:divBdr>
            </w:div>
          </w:divsChild>
        </w:div>
        <w:div w:id="748843648">
          <w:marLeft w:val="0"/>
          <w:marRight w:val="0"/>
          <w:marTop w:val="0"/>
          <w:marBottom w:val="0"/>
          <w:divBdr>
            <w:top w:val="none" w:sz="0" w:space="0" w:color="auto"/>
            <w:left w:val="none" w:sz="0" w:space="0" w:color="auto"/>
            <w:bottom w:val="none" w:sz="0" w:space="0" w:color="auto"/>
            <w:right w:val="none" w:sz="0" w:space="0" w:color="auto"/>
          </w:divBdr>
          <w:divsChild>
            <w:div w:id="1213467353">
              <w:marLeft w:val="0"/>
              <w:marRight w:val="0"/>
              <w:marTop w:val="0"/>
              <w:marBottom w:val="0"/>
              <w:divBdr>
                <w:top w:val="none" w:sz="0" w:space="0" w:color="auto"/>
                <w:left w:val="none" w:sz="0" w:space="0" w:color="auto"/>
                <w:bottom w:val="none" w:sz="0" w:space="0" w:color="auto"/>
                <w:right w:val="none" w:sz="0" w:space="0" w:color="auto"/>
              </w:divBdr>
            </w:div>
          </w:divsChild>
        </w:div>
        <w:div w:id="1788042469">
          <w:marLeft w:val="0"/>
          <w:marRight w:val="0"/>
          <w:marTop w:val="0"/>
          <w:marBottom w:val="0"/>
          <w:divBdr>
            <w:top w:val="none" w:sz="0" w:space="0" w:color="auto"/>
            <w:left w:val="none" w:sz="0" w:space="0" w:color="auto"/>
            <w:bottom w:val="none" w:sz="0" w:space="0" w:color="auto"/>
            <w:right w:val="none" w:sz="0" w:space="0" w:color="auto"/>
          </w:divBdr>
          <w:divsChild>
            <w:div w:id="1090540356">
              <w:marLeft w:val="0"/>
              <w:marRight w:val="0"/>
              <w:marTop w:val="0"/>
              <w:marBottom w:val="0"/>
              <w:divBdr>
                <w:top w:val="none" w:sz="0" w:space="0" w:color="auto"/>
                <w:left w:val="none" w:sz="0" w:space="0" w:color="auto"/>
                <w:bottom w:val="none" w:sz="0" w:space="0" w:color="auto"/>
                <w:right w:val="none" w:sz="0" w:space="0" w:color="auto"/>
              </w:divBdr>
            </w:div>
          </w:divsChild>
        </w:div>
        <w:div w:id="724790970">
          <w:marLeft w:val="0"/>
          <w:marRight w:val="0"/>
          <w:marTop w:val="0"/>
          <w:marBottom w:val="0"/>
          <w:divBdr>
            <w:top w:val="none" w:sz="0" w:space="0" w:color="auto"/>
            <w:left w:val="none" w:sz="0" w:space="0" w:color="auto"/>
            <w:bottom w:val="none" w:sz="0" w:space="0" w:color="auto"/>
            <w:right w:val="none" w:sz="0" w:space="0" w:color="auto"/>
          </w:divBdr>
          <w:divsChild>
            <w:div w:id="1758864181">
              <w:marLeft w:val="0"/>
              <w:marRight w:val="0"/>
              <w:marTop w:val="0"/>
              <w:marBottom w:val="0"/>
              <w:divBdr>
                <w:top w:val="none" w:sz="0" w:space="0" w:color="auto"/>
                <w:left w:val="none" w:sz="0" w:space="0" w:color="auto"/>
                <w:bottom w:val="none" w:sz="0" w:space="0" w:color="auto"/>
                <w:right w:val="none" w:sz="0" w:space="0" w:color="auto"/>
              </w:divBdr>
            </w:div>
          </w:divsChild>
        </w:div>
        <w:div w:id="1039940623">
          <w:marLeft w:val="0"/>
          <w:marRight w:val="0"/>
          <w:marTop w:val="0"/>
          <w:marBottom w:val="0"/>
          <w:divBdr>
            <w:top w:val="none" w:sz="0" w:space="0" w:color="auto"/>
            <w:left w:val="none" w:sz="0" w:space="0" w:color="auto"/>
            <w:bottom w:val="none" w:sz="0" w:space="0" w:color="auto"/>
            <w:right w:val="none" w:sz="0" w:space="0" w:color="auto"/>
          </w:divBdr>
          <w:divsChild>
            <w:div w:id="146367270">
              <w:marLeft w:val="0"/>
              <w:marRight w:val="0"/>
              <w:marTop w:val="0"/>
              <w:marBottom w:val="0"/>
              <w:divBdr>
                <w:top w:val="none" w:sz="0" w:space="0" w:color="auto"/>
                <w:left w:val="none" w:sz="0" w:space="0" w:color="auto"/>
                <w:bottom w:val="none" w:sz="0" w:space="0" w:color="auto"/>
                <w:right w:val="none" w:sz="0" w:space="0" w:color="auto"/>
              </w:divBdr>
            </w:div>
          </w:divsChild>
        </w:div>
        <w:div w:id="183373008">
          <w:marLeft w:val="0"/>
          <w:marRight w:val="0"/>
          <w:marTop w:val="0"/>
          <w:marBottom w:val="0"/>
          <w:divBdr>
            <w:top w:val="none" w:sz="0" w:space="0" w:color="auto"/>
            <w:left w:val="none" w:sz="0" w:space="0" w:color="auto"/>
            <w:bottom w:val="none" w:sz="0" w:space="0" w:color="auto"/>
            <w:right w:val="none" w:sz="0" w:space="0" w:color="auto"/>
          </w:divBdr>
          <w:divsChild>
            <w:div w:id="355425090">
              <w:marLeft w:val="0"/>
              <w:marRight w:val="0"/>
              <w:marTop w:val="0"/>
              <w:marBottom w:val="0"/>
              <w:divBdr>
                <w:top w:val="none" w:sz="0" w:space="0" w:color="auto"/>
                <w:left w:val="none" w:sz="0" w:space="0" w:color="auto"/>
                <w:bottom w:val="none" w:sz="0" w:space="0" w:color="auto"/>
                <w:right w:val="none" w:sz="0" w:space="0" w:color="auto"/>
              </w:divBdr>
            </w:div>
          </w:divsChild>
        </w:div>
        <w:div w:id="750007526">
          <w:marLeft w:val="0"/>
          <w:marRight w:val="0"/>
          <w:marTop w:val="0"/>
          <w:marBottom w:val="0"/>
          <w:divBdr>
            <w:top w:val="none" w:sz="0" w:space="0" w:color="auto"/>
            <w:left w:val="none" w:sz="0" w:space="0" w:color="auto"/>
            <w:bottom w:val="none" w:sz="0" w:space="0" w:color="auto"/>
            <w:right w:val="none" w:sz="0" w:space="0" w:color="auto"/>
          </w:divBdr>
          <w:divsChild>
            <w:div w:id="113519507">
              <w:marLeft w:val="0"/>
              <w:marRight w:val="0"/>
              <w:marTop w:val="0"/>
              <w:marBottom w:val="0"/>
              <w:divBdr>
                <w:top w:val="none" w:sz="0" w:space="0" w:color="auto"/>
                <w:left w:val="none" w:sz="0" w:space="0" w:color="auto"/>
                <w:bottom w:val="none" w:sz="0" w:space="0" w:color="auto"/>
                <w:right w:val="none" w:sz="0" w:space="0" w:color="auto"/>
              </w:divBdr>
            </w:div>
          </w:divsChild>
        </w:div>
        <w:div w:id="2033263097">
          <w:marLeft w:val="0"/>
          <w:marRight w:val="0"/>
          <w:marTop w:val="0"/>
          <w:marBottom w:val="0"/>
          <w:divBdr>
            <w:top w:val="none" w:sz="0" w:space="0" w:color="auto"/>
            <w:left w:val="none" w:sz="0" w:space="0" w:color="auto"/>
            <w:bottom w:val="none" w:sz="0" w:space="0" w:color="auto"/>
            <w:right w:val="none" w:sz="0" w:space="0" w:color="auto"/>
          </w:divBdr>
          <w:divsChild>
            <w:div w:id="1722627863">
              <w:marLeft w:val="0"/>
              <w:marRight w:val="0"/>
              <w:marTop w:val="0"/>
              <w:marBottom w:val="0"/>
              <w:divBdr>
                <w:top w:val="none" w:sz="0" w:space="0" w:color="auto"/>
                <w:left w:val="none" w:sz="0" w:space="0" w:color="auto"/>
                <w:bottom w:val="none" w:sz="0" w:space="0" w:color="auto"/>
                <w:right w:val="none" w:sz="0" w:space="0" w:color="auto"/>
              </w:divBdr>
            </w:div>
          </w:divsChild>
        </w:div>
        <w:div w:id="1030257384">
          <w:marLeft w:val="0"/>
          <w:marRight w:val="0"/>
          <w:marTop w:val="0"/>
          <w:marBottom w:val="0"/>
          <w:divBdr>
            <w:top w:val="none" w:sz="0" w:space="0" w:color="auto"/>
            <w:left w:val="none" w:sz="0" w:space="0" w:color="auto"/>
            <w:bottom w:val="none" w:sz="0" w:space="0" w:color="auto"/>
            <w:right w:val="none" w:sz="0" w:space="0" w:color="auto"/>
          </w:divBdr>
          <w:divsChild>
            <w:div w:id="1350913398">
              <w:marLeft w:val="0"/>
              <w:marRight w:val="0"/>
              <w:marTop w:val="0"/>
              <w:marBottom w:val="0"/>
              <w:divBdr>
                <w:top w:val="none" w:sz="0" w:space="0" w:color="auto"/>
                <w:left w:val="none" w:sz="0" w:space="0" w:color="auto"/>
                <w:bottom w:val="none" w:sz="0" w:space="0" w:color="auto"/>
                <w:right w:val="none" w:sz="0" w:space="0" w:color="auto"/>
              </w:divBdr>
            </w:div>
          </w:divsChild>
        </w:div>
        <w:div w:id="2146118655">
          <w:marLeft w:val="0"/>
          <w:marRight w:val="0"/>
          <w:marTop w:val="0"/>
          <w:marBottom w:val="0"/>
          <w:divBdr>
            <w:top w:val="none" w:sz="0" w:space="0" w:color="auto"/>
            <w:left w:val="none" w:sz="0" w:space="0" w:color="auto"/>
            <w:bottom w:val="none" w:sz="0" w:space="0" w:color="auto"/>
            <w:right w:val="none" w:sz="0" w:space="0" w:color="auto"/>
          </w:divBdr>
          <w:divsChild>
            <w:div w:id="1152066446">
              <w:marLeft w:val="0"/>
              <w:marRight w:val="0"/>
              <w:marTop w:val="0"/>
              <w:marBottom w:val="0"/>
              <w:divBdr>
                <w:top w:val="none" w:sz="0" w:space="0" w:color="auto"/>
                <w:left w:val="none" w:sz="0" w:space="0" w:color="auto"/>
                <w:bottom w:val="none" w:sz="0" w:space="0" w:color="auto"/>
                <w:right w:val="none" w:sz="0" w:space="0" w:color="auto"/>
              </w:divBdr>
            </w:div>
          </w:divsChild>
        </w:div>
        <w:div w:id="1099568340">
          <w:marLeft w:val="0"/>
          <w:marRight w:val="0"/>
          <w:marTop w:val="0"/>
          <w:marBottom w:val="0"/>
          <w:divBdr>
            <w:top w:val="none" w:sz="0" w:space="0" w:color="auto"/>
            <w:left w:val="none" w:sz="0" w:space="0" w:color="auto"/>
            <w:bottom w:val="none" w:sz="0" w:space="0" w:color="auto"/>
            <w:right w:val="none" w:sz="0" w:space="0" w:color="auto"/>
          </w:divBdr>
          <w:divsChild>
            <w:div w:id="1881286353">
              <w:marLeft w:val="0"/>
              <w:marRight w:val="0"/>
              <w:marTop w:val="0"/>
              <w:marBottom w:val="0"/>
              <w:divBdr>
                <w:top w:val="none" w:sz="0" w:space="0" w:color="auto"/>
                <w:left w:val="none" w:sz="0" w:space="0" w:color="auto"/>
                <w:bottom w:val="none" w:sz="0" w:space="0" w:color="auto"/>
                <w:right w:val="none" w:sz="0" w:space="0" w:color="auto"/>
              </w:divBdr>
            </w:div>
          </w:divsChild>
        </w:div>
        <w:div w:id="309989220">
          <w:marLeft w:val="0"/>
          <w:marRight w:val="0"/>
          <w:marTop w:val="0"/>
          <w:marBottom w:val="0"/>
          <w:divBdr>
            <w:top w:val="none" w:sz="0" w:space="0" w:color="auto"/>
            <w:left w:val="none" w:sz="0" w:space="0" w:color="auto"/>
            <w:bottom w:val="none" w:sz="0" w:space="0" w:color="auto"/>
            <w:right w:val="none" w:sz="0" w:space="0" w:color="auto"/>
          </w:divBdr>
          <w:divsChild>
            <w:div w:id="503513982">
              <w:marLeft w:val="0"/>
              <w:marRight w:val="0"/>
              <w:marTop w:val="0"/>
              <w:marBottom w:val="0"/>
              <w:divBdr>
                <w:top w:val="none" w:sz="0" w:space="0" w:color="auto"/>
                <w:left w:val="none" w:sz="0" w:space="0" w:color="auto"/>
                <w:bottom w:val="none" w:sz="0" w:space="0" w:color="auto"/>
                <w:right w:val="none" w:sz="0" w:space="0" w:color="auto"/>
              </w:divBdr>
            </w:div>
          </w:divsChild>
        </w:div>
        <w:div w:id="1224759280">
          <w:marLeft w:val="0"/>
          <w:marRight w:val="0"/>
          <w:marTop w:val="0"/>
          <w:marBottom w:val="0"/>
          <w:divBdr>
            <w:top w:val="none" w:sz="0" w:space="0" w:color="auto"/>
            <w:left w:val="none" w:sz="0" w:space="0" w:color="auto"/>
            <w:bottom w:val="none" w:sz="0" w:space="0" w:color="auto"/>
            <w:right w:val="none" w:sz="0" w:space="0" w:color="auto"/>
          </w:divBdr>
          <w:divsChild>
            <w:div w:id="206726543">
              <w:marLeft w:val="0"/>
              <w:marRight w:val="0"/>
              <w:marTop w:val="0"/>
              <w:marBottom w:val="0"/>
              <w:divBdr>
                <w:top w:val="none" w:sz="0" w:space="0" w:color="auto"/>
                <w:left w:val="none" w:sz="0" w:space="0" w:color="auto"/>
                <w:bottom w:val="none" w:sz="0" w:space="0" w:color="auto"/>
                <w:right w:val="none" w:sz="0" w:space="0" w:color="auto"/>
              </w:divBdr>
            </w:div>
          </w:divsChild>
        </w:div>
        <w:div w:id="1548223143">
          <w:marLeft w:val="0"/>
          <w:marRight w:val="0"/>
          <w:marTop w:val="0"/>
          <w:marBottom w:val="0"/>
          <w:divBdr>
            <w:top w:val="none" w:sz="0" w:space="0" w:color="auto"/>
            <w:left w:val="none" w:sz="0" w:space="0" w:color="auto"/>
            <w:bottom w:val="none" w:sz="0" w:space="0" w:color="auto"/>
            <w:right w:val="none" w:sz="0" w:space="0" w:color="auto"/>
          </w:divBdr>
          <w:divsChild>
            <w:div w:id="936866416">
              <w:marLeft w:val="0"/>
              <w:marRight w:val="0"/>
              <w:marTop w:val="0"/>
              <w:marBottom w:val="0"/>
              <w:divBdr>
                <w:top w:val="none" w:sz="0" w:space="0" w:color="auto"/>
                <w:left w:val="none" w:sz="0" w:space="0" w:color="auto"/>
                <w:bottom w:val="none" w:sz="0" w:space="0" w:color="auto"/>
                <w:right w:val="none" w:sz="0" w:space="0" w:color="auto"/>
              </w:divBdr>
            </w:div>
          </w:divsChild>
        </w:div>
        <w:div w:id="651565340">
          <w:marLeft w:val="0"/>
          <w:marRight w:val="0"/>
          <w:marTop w:val="0"/>
          <w:marBottom w:val="0"/>
          <w:divBdr>
            <w:top w:val="none" w:sz="0" w:space="0" w:color="auto"/>
            <w:left w:val="none" w:sz="0" w:space="0" w:color="auto"/>
            <w:bottom w:val="none" w:sz="0" w:space="0" w:color="auto"/>
            <w:right w:val="none" w:sz="0" w:space="0" w:color="auto"/>
          </w:divBdr>
          <w:divsChild>
            <w:div w:id="1543901616">
              <w:marLeft w:val="0"/>
              <w:marRight w:val="0"/>
              <w:marTop w:val="0"/>
              <w:marBottom w:val="0"/>
              <w:divBdr>
                <w:top w:val="none" w:sz="0" w:space="0" w:color="auto"/>
                <w:left w:val="none" w:sz="0" w:space="0" w:color="auto"/>
                <w:bottom w:val="none" w:sz="0" w:space="0" w:color="auto"/>
                <w:right w:val="none" w:sz="0" w:space="0" w:color="auto"/>
              </w:divBdr>
            </w:div>
          </w:divsChild>
        </w:div>
        <w:div w:id="807011963">
          <w:marLeft w:val="0"/>
          <w:marRight w:val="0"/>
          <w:marTop w:val="0"/>
          <w:marBottom w:val="0"/>
          <w:divBdr>
            <w:top w:val="none" w:sz="0" w:space="0" w:color="auto"/>
            <w:left w:val="none" w:sz="0" w:space="0" w:color="auto"/>
            <w:bottom w:val="none" w:sz="0" w:space="0" w:color="auto"/>
            <w:right w:val="none" w:sz="0" w:space="0" w:color="auto"/>
          </w:divBdr>
          <w:divsChild>
            <w:div w:id="1273049146">
              <w:marLeft w:val="0"/>
              <w:marRight w:val="0"/>
              <w:marTop w:val="0"/>
              <w:marBottom w:val="0"/>
              <w:divBdr>
                <w:top w:val="none" w:sz="0" w:space="0" w:color="auto"/>
                <w:left w:val="none" w:sz="0" w:space="0" w:color="auto"/>
                <w:bottom w:val="none" w:sz="0" w:space="0" w:color="auto"/>
                <w:right w:val="none" w:sz="0" w:space="0" w:color="auto"/>
              </w:divBdr>
            </w:div>
          </w:divsChild>
        </w:div>
        <w:div w:id="167521421">
          <w:marLeft w:val="0"/>
          <w:marRight w:val="0"/>
          <w:marTop w:val="0"/>
          <w:marBottom w:val="0"/>
          <w:divBdr>
            <w:top w:val="none" w:sz="0" w:space="0" w:color="auto"/>
            <w:left w:val="none" w:sz="0" w:space="0" w:color="auto"/>
            <w:bottom w:val="none" w:sz="0" w:space="0" w:color="auto"/>
            <w:right w:val="none" w:sz="0" w:space="0" w:color="auto"/>
          </w:divBdr>
          <w:divsChild>
            <w:div w:id="942343168">
              <w:marLeft w:val="0"/>
              <w:marRight w:val="0"/>
              <w:marTop w:val="0"/>
              <w:marBottom w:val="0"/>
              <w:divBdr>
                <w:top w:val="none" w:sz="0" w:space="0" w:color="auto"/>
                <w:left w:val="none" w:sz="0" w:space="0" w:color="auto"/>
                <w:bottom w:val="none" w:sz="0" w:space="0" w:color="auto"/>
                <w:right w:val="none" w:sz="0" w:space="0" w:color="auto"/>
              </w:divBdr>
            </w:div>
          </w:divsChild>
        </w:div>
        <w:div w:id="1486166277">
          <w:marLeft w:val="0"/>
          <w:marRight w:val="0"/>
          <w:marTop w:val="0"/>
          <w:marBottom w:val="0"/>
          <w:divBdr>
            <w:top w:val="none" w:sz="0" w:space="0" w:color="auto"/>
            <w:left w:val="none" w:sz="0" w:space="0" w:color="auto"/>
            <w:bottom w:val="none" w:sz="0" w:space="0" w:color="auto"/>
            <w:right w:val="none" w:sz="0" w:space="0" w:color="auto"/>
          </w:divBdr>
          <w:divsChild>
            <w:div w:id="83213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1.next.westlaw.com/Link/Document/FullText?findType=Y&amp;serNum=1980118098&amp;pubNum=350&amp;originatingDoc=I599304B063E811D9B7CECED691859821&amp;refType=RP&amp;fi=co_pp_sp_350_864&amp;originationContext=document&amp;transitionType=DocumentItem&amp;ppcid=6cbf4389e04f4589bc2ebd78709ffd8a&amp;contextData=(sc.Keycite)" TargetMode="External"/><Relationship Id="rId3" Type="http://schemas.openxmlformats.org/officeDocument/2006/relationships/webSettings" Target="webSettings.xml"/><Relationship Id="rId7" Type="http://schemas.openxmlformats.org/officeDocument/2006/relationships/hyperlink" Target="https://1.next.westlaw.com/Link/Document/FullText?findType=Y&amp;serNum=1980226975&amp;pubNum=780&amp;originatingDoc=I599304B063E811D9B7CECED691859821&amp;refType=RP&amp;originationContext=document&amp;transitionType=DocumentItem&amp;ppcid=6cbf4389e04f4589bc2ebd78709ffd8a&amp;contextData=(sc.Keycit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1.next.westlaw.com/Link/Document/FullText?findType=Y&amp;serNum=1980118414&amp;pubNum=350&amp;originatingDoc=I599304B063E811D9B7CECED691859821&amp;refType=RP&amp;fi=co_pp_sp_350_228&amp;originationContext=document&amp;transitionType=DocumentItem&amp;ppcid=6cbf4389e04f4589bc2ebd78709ffd8a&amp;contextData=(sc.Keycite)" TargetMode="External"/><Relationship Id="rId11" Type="http://schemas.openxmlformats.org/officeDocument/2006/relationships/theme" Target="theme/theme1.xml"/><Relationship Id="rId5" Type="http://schemas.openxmlformats.org/officeDocument/2006/relationships/hyperlink" Target="https://1.next.westlaw.com/Link/Document/FullText?findType=Y&amp;serNum=1980135969&amp;pubNum=350&amp;originatingDoc=I599304B063E811D9B7CECED691859821&amp;refType=RP&amp;fi=co_pp_sp_350_43&amp;originationContext=document&amp;transitionType=DocumentItem&amp;ppcid=6cbf4389e04f4589bc2ebd78709ffd8a&amp;contextData=(sc.Keycite)" TargetMode="External"/><Relationship Id="rId10" Type="http://schemas.openxmlformats.org/officeDocument/2006/relationships/fontTable" Target="fontTable.xml"/><Relationship Id="rId4" Type="http://schemas.openxmlformats.org/officeDocument/2006/relationships/hyperlink" Target="https://1.next.westlaw.com/Link/Document/FullText?findType=Y&amp;serNum=1980146297&amp;pubNum=350&amp;originatingDoc=I599304B063E811D9B7CECED691859821&amp;refType=RP&amp;fi=co_pp_sp_350_33&amp;originationContext=document&amp;transitionType=DocumentItem&amp;ppcid=6cbf4389e04f4589bc2ebd78709ffd8a&amp;contextData=(sc.Keycite)" TargetMode="External"/><Relationship Id="rId9" Type="http://schemas.openxmlformats.org/officeDocument/2006/relationships/hyperlink" Target="https://1.next.westlaw.com/Link/Document/FullText?findType=Y&amp;serNum=1979115189&amp;pubNum=350&amp;originatingDoc=I599304B063E811D9B7CECED691859821&amp;refType=RP&amp;fi=co_pp_sp_350_970&amp;originationContext=document&amp;transitionType=DocumentItem&amp;ppcid=6cbf4389e04f4589bc2ebd78709ffd8a&amp;contextData=(sc.Keyci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2114</Words>
  <Characters>12055</Characters>
  <Application>Microsoft Office Word</Application>
  <DocSecurity>0</DocSecurity>
  <Lines>100</Lines>
  <Paragraphs>28</Paragraphs>
  <ScaleCrop>false</ScaleCrop>
  <Company/>
  <LinksUpToDate>false</LinksUpToDate>
  <CharactersWithSpaces>14141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1</cp:revision>
  <dcterms:created xsi:type="dcterms:W3CDTF">2025-05-15T21:56:00Z</dcterms:created>
  <dcterms:modified xsi:type="dcterms:W3CDTF">2025-05-15T21:57:00Z</dcterms:modified>
</cp:coreProperties>
</file>